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eastAsia="微软雅黑"/>
          <w:bCs/>
          <w:color w:val="auto"/>
          <w:sz w:val="72"/>
          <w:szCs w:val="72"/>
        </w:rPr>
      </w:pPr>
      <w:bookmarkStart w:id="0" w:name="_Toc6615"/>
      <w:bookmarkStart w:id="1" w:name="_Toc7651"/>
      <w:r>
        <w:rPr>
          <w:rFonts w:eastAsia="微软雅黑"/>
          <w:bCs/>
          <w:color w:val="auto"/>
          <w:sz w:val="72"/>
          <w:szCs w:val="72"/>
        </w:rPr>
        <w:t>建设项目环境影响报告表</w:t>
      </w:r>
      <w:bookmarkEnd w:id="0"/>
      <w:bookmarkEnd w:id="1"/>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line="288" w:lineRule="auto"/>
        <w:jc w:val="center"/>
        <w:outlineLvl w:val="9"/>
        <w:rPr>
          <w:rFonts w:eastAsia="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1040"/>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项目名称：</w:t>
      </w:r>
      <w:r>
        <w:rPr>
          <w:rFonts w:hint="eastAsia" w:cs="Times New Roman"/>
          <w:color w:val="auto"/>
          <w:sz w:val="32"/>
          <w:szCs w:val="32"/>
          <w:u w:val="single"/>
          <w:lang w:eastAsia="zh-CN"/>
        </w:rPr>
        <w:t>常胜乡生物质锅炉及配套设施采购项目</w:t>
      </w:r>
      <w:r>
        <w:rPr>
          <w:rFonts w:hint="default" w:ascii="Times New Roman" w:hAnsi="Times New Roman" w:eastAsia="宋体" w:cs="Times New Roman"/>
          <w:color w:val="auto"/>
          <w:sz w:val="32"/>
          <w:szCs w:val="32"/>
          <w:u w:val="single"/>
        </w:rPr>
        <w:t xml:space="preserve">                 </w:t>
      </w:r>
    </w:p>
    <w:p>
      <w:pPr>
        <w:adjustRightInd w:val="0"/>
        <w:snapToGrid w:val="0"/>
        <w:spacing w:line="288" w:lineRule="auto"/>
        <w:ind w:firstLine="1040"/>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建设单位（盖章）：</w:t>
      </w:r>
      <w:r>
        <w:rPr>
          <w:rFonts w:hint="eastAsia" w:cs="Times New Roman"/>
          <w:color w:val="auto"/>
          <w:sz w:val="32"/>
          <w:szCs w:val="32"/>
          <w:u w:val="single"/>
          <w:lang w:eastAsia="zh-CN"/>
        </w:rPr>
        <w:t>嘉荫县常胜乡人民政府</w:t>
      </w:r>
      <w:r>
        <w:rPr>
          <w:rFonts w:hint="default" w:ascii="Times New Roman" w:hAnsi="Times New Roman" w:eastAsia="宋体" w:cs="Times New Roman"/>
          <w:color w:val="auto"/>
          <w:sz w:val="32"/>
          <w:szCs w:val="32"/>
          <w:u w:val="single"/>
        </w:rPr>
        <w:t xml:space="preserve">          </w:t>
      </w:r>
    </w:p>
    <w:p>
      <w:pPr>
        <w:adjustRightInd w:val="0"/>
        <w:snapToGrid w:val="0"/>
        <w:spacing w:line="288" w:lineRule="auto"/>
        <w:ind w:firstLine="1040"/>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编制日期：</w:t>
      </w:r>
      <w:r>
        <w:rPr>
          <w:rFonts w:hint="default" w:ascii="Times New Roman" w:hAnsi="Times New Roman" w:eastAsia="宋体" w:cs="Times New Roman"/>
          <w:color w:val="auto"/>
          <w:sz w:val="32"/>
          <w:szCs w:val="32"/>
          <w:u w:val="single"/>
        </w:rPr>
        <w:t>2025年</w:t>
      </w:r>
      <w:r>
        <w:rPr>
          <w:rFonts w:hint="eastAsia" w:cs="Times New Roman"/>
          <w:color w:val="auto"/>
          <w:sz w:val="32"/>
          <w:szCs w:val="32"/>
          <w:u w:val="single"/>
          <w:lang w:val="en-US" w:eastAsia="zh-CN"/>
        </w:rPr>
        <w:t>9</w:t>
      </w:r>
      <w:r>
        <w:rPr>
          <w:rFonts w:hint="default" w:ascii="Times New Roman" w:hAnsi="Times New Roman" w:eastAsia="宋体" w:cs="Times New Roman"/>
          <w:color w:val="auto"/>
          <w:sz w:val="32"/>
          <w:szCs w:val="32"/>
          <w:u w:val="single"/>
        </w:rPr>
        <w:t xml:space="preserve">月                           </w:t>
      </w:r>
    </w:p>
    <w:p>
      <w:pPr>
        <w:adjustRightInd w:val="0"/>
        <w:snapToGrid w:val="0"/>
        <w:spacing w:line="288" w:lineRule="auto"/>
        <w:ind w:firstLine="1040"/>
        <w:rPr>
          <w:rFonts w:eastAsia="仿宋_GB2312"/>
          <w:color w:val="auto"/>
          <w:sz w:val="36"/>
          <w:szCs w:val="36"/>
          <w:u w:val="single"/>
        </w:rPr>
      </w:pPr>
      <w:bookmarkStart w:id="2" w:name="_Hlk57884087"/>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rPr>
          <w:rFonts w:hint="eastAsia" w:eastAsia="仿宋_GB2312"/>
          <w:color w:val="auto"/>
          <w:sz w:val="36"/>
          <w:szCs w:val="36"/>
        </w:rPr>
      </w:pPr>
    </w:p>
    <w:p>
      <w:pPr>
        <w:adjustRightInd w:val="0"/>
        <w:snapToGrid w:val="0"/>
        <w:spacing w:line="288" w:lineRule="auto"/>
        <w:ind w:firstLine="1040"/>
        <w:rPr>
          <w:rFonts w:hint="eastAsia" w:eastAsia="仿宋_GB2312"/>
          <w:color w:val="auto"/>
          <w:sz w:val="36"/>
          <w:szCs w:val="36"/>
        </w:rPr>
      </w:pPr>
    </w:p>
    <w:bookmarkEnd w:id="2"/>
    <w:p>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pPr>
        <w:adjustRightInd w:val="0"/>
        <w:snapToGrid w:val="0"/>
        <w:spacing w:line="288" w:lineRule="auto"/>
        <w:jc w:val="center"/>
        <w:rPr>
          <w:rFonts w:eastAsia="楷体_GB2312"/>
          <w:color w:val="auto"/>
          <w:sz w:val="36"/>
          <w:szCs w:val="36"/>
        </w:rPr>
      </w:pPr>
    </w:p>
    <w:p>
      <w:pPr>
        <w:adjustRightInd w:val="0"/>
        <w:snapToGrid w:val="0"/>
        <w:spacing w:line="288" w:lineRule="auto"/>
        <w:ind w:firstLine="1040"/>
        <w:rPr>
          <w:rFonts w:eastAsia="仿宋_GB2312"/>
          <w:color w:val="auto"/>
          <w:sz w:val="36"/>
          <w:szCs w:val="36"/>
        </w:rPr>
        <w:sectPr>
          <w:headerReference r:id="rId3" w:type="first"/>
          <w:footerReference r:id="rId4" w:type="default"/>
          <w:footerReference r:id="rId5" w:type="even"/>
          <w:pgSz w:w="11906" w:h="16838"/>
          <w:pgMar w:top="1701" w:right="1531" w:bottom="1701" w:left="1531" w:header="851" w:footer="1077" w:gutter="0"/>
          <w:pgNumType w:start="0"/>
          <w:cols w:space="720" w:num="1"/>
          <w:titlePg/>
          <w:docGrid w:linePitch="312" w:charSpace="0"/>
        </w:sectPr>
      </w:pPr>
    </w:p>
    <w:p>
      <w:pPr>
        <w:adjustRightInd w:val="0"/>
        <w:snapToGrid w:val="0"/>
        <w:spacing w:line="288" w:lineRule="auto"/>
        <w:rPr>
          <w:color w:val="auto"/>
        </w:rPr>
        <w:sectPr>
          <w:pgSz w:w="11906" w:h="16838"/>
          <w:pgMar w:top="1701" w:right="1531" w:bottom="1701" w:left="1531" w:header="851" w:footer="1077" w:gutter="0"/>
          <w:pgNumType w:start="0"/>
          <w:cols w:space="720" w:num="1"/>
          <w:titlePg/>
          <w:docGrid w:linePitch="312" w:charSpace="0"/>
        </w:sectPr>
      </w:pPr>
      <w:r>
        <w:drawing>
          <wp:inline distT="0" distB="0" distL="114300" distR="114300">
            <wp:extent cx="5067300" cy="6972300"/>
            <wp:effectExtent l="0" t="0" r="0"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10"/>
                    <a:stretch>
                      <a:fillRect/>
                    </a:stretch>
                  </pic:blipFill>
                  <pic:spPr>
                    <a:xfrm>
                      <a:off x="0" y="0"/>
                      <a:ext cx="5067300" cy="6972300"/>
                    </a:xfrm>
                    <a:prstGeom prst="rect">
                      <a:avLst/>
                    </a:prstGeom>
                    <a:noFill/>
                    <a:ln>
                      <a:noFill/>
                    </a:ln>
                  </pic:spPr>
                </pic:pic>
              </a:graphicData>
            </a:graphic>
          </wp:inline>
        </w:drawing>
      </w:r>
    </w:p>
    <w:sdt>
      <w:sdtPr>
        <w:rPr>
          <w:rFonts w:ascii="宋体" w:hAnsi="宋体" w:eastAsia="宋体" w:cs="Times New Roman"/>
          <w:color w:val="auto"/>
          <w:kern w:val="2"/>
          <w:sz w:val="36"/>
          <w:szCs w:val="44"/>
          <w:lang w:val="en-US" w:eastAsia="zh-CN" w:bidi="ar-SA"/>
        </w:rPr>
        <w:id w:val="147457430"/>
        <w15:color w:val="DBDBDB"/>
        <w:docPartObj>
          <w:docPartGallery w:val="Table of Contents"/>
          <w:docPartUnique/>
        </w:docPartObj>
      </w:sdtPr>
      <w:sdtEndPr>
        <w:rPr>
          <w:rFonts w:ascii="Times New Roman" w:hAnsi="Times New Roman" w:eastAsia="宋体" w:cs="Times New Roman"/>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36"/>
              <w:szCs w:val="44"/>
            </w:rPr>
          </w:pPr>
          <w:r>
            <w:rPr>
              <w:rFonts w:ascii="宋体" w:hAnsi="宋体" w:eastAsia="宋体"/>
              <w:color w:val="auto"/>
              <w:sz w:val="36"/>
              <w:szCs w:val="44"/>
            </w:rPr>
            <w:t>目录</w:t>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_Toc16187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_Toc16187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_Toc21701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_Toc21701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_Toc22660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_Toc22660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_Toc21345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_Toc21345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_Toc6372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_Toc6372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_Toc9568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_Toc9568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_Toc18376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_Toc18376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_Toc23195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附</w:t>
          </w:r>
          <w:r>
            <w:rPr>
              <w:rFonts w:hint="default" w:ascii="Times New Roman" w:hAnsi="Times New Roman" w:eastAsia="宋体" w:cs="Times New Roman"/>
              <w:snapToGrid w:val="0"/>
              <w:color w:val="auto"/>
              <w:sz w:val="24"/>
              <w:szCs w:val="24"/>
              <w:lang w:eastAsia="zh-CN"/>
            </w:rPr>
            <w:t>图</w:t>
          </w:r>
          <w:r>
            <w:rPr>
              <w:rFonts w:hint="default" w:ascii="Times New Roman" w:hAnsi="Times New Roman" w:eastAsia="宋体" w:cs="Times New Roman"/>
              <w:snapToGrid w:val="0"/>
              <w:color w:val="auto"/>
              <w:sz w:val="24"/>
              <w:szCs w:val="24"/>
              <w:lang w:val="en-US" w:eastAsia="zh-CN"/>
            </w:rPr>
            <w:t>1 本项目地理位置图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_Toc23195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_Toc19245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附</w:t>
          </w:r>
          <w:r>
            <w:rPr>
              <w:rFonts w:hint="default" w:ascii="Times New Roman" w:hAnsi="Times New Roman" w:eastAsia="宋体" w:cs="Times New Roman"/>
              <w:snapToGrid w:val="0"/>
              <w:color w:val="auto"/>
              <w:sz w:val="24"/>
              <w:szCs w:val="24"/>
              <w:highlight w:val="none"/>
              <w:lang w:eastAsia="zh-CN"/>
            </w:rPr>
            <w:t>图</w:t>
          </w:r>
          <w:r>
            <w:rPr>
              <w:rFonts w:hint="default" w:ascii="Times New Roman" w:hAnsi="Times New Roman" w:eastAsia="宋体" w:cs="Times New Roman"/>
              <w:snapToGrid w:val="0"/>
              <w:color w:val="auto"/>
              <w:sz w:val="24"/>
              <w:szCs w:val="24"/>
              <w:highlight w:val="none"/>
              <w:lang w:val="en-US" w:eastAsia="zh-CN"/>
            </w:rPr>
            <w:t>2 厂区总平面布置图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_Toc19245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_Toc6596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highlight w:val="none"/>
              <w:lang w:val="en-US" w:eastAsia="zh-CN"/>
            </w:rPr>
            <w:t>附图3 与环境管控单元位置叠加图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_Toc6596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_Toc589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附件1 监测报告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_Toc589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_Toc27704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2 本项目生物质燃料分析报告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_Toc27704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_Toc18227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3 本项目原有煤燃料分析报告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_Toc18227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_Toc29787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4 生态环境分区管控报告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_Toc29787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_Toc10840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5核定总量计算说明</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_Toc10840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4"/>
              <w:szCs w:val="24"/>
            </w:rPr>
            <w:fldChar w:fldCharType="end"/>
          </w:r>
        </w:p>
      </w:sdtContent>
    </w:sdt>
    <w:p>
      <w:pPr>
        <w:adjustRightInd w:val="0"/>
        <w:snapToGrid w:val="0"/>
        <w:spacing w:line="288" w:lineRule="auto"/>
        <w:ind w:firstLine="1040"/>
        <w:rPr>
          <w:rFonts w:ascii="Times New Roman" w:hAnsi="Times New Roman" w:eastAsia="宋体" w:cs="Times New Roman"/>
          <w:color w:val="auto"/>
          <w:kern w:val="2"/>
          <w:sz w:val="21"/>
          <w:szCs w:val="24"/>
          <w:lang w:val="en-US" w:eastAsia="zh-CN" w:bidi="ar-SA"/>
        </w:rPr>
        <w:sectPr>
          <w:pgSz w:w="11906" w:h="16838"/>
          <w:pgMar w:top="1701" w:right="1531" w:bottom="1701" w:left="1531" w:header="851" w:footer="1077" w:gutter="0"/>
          <w:pgNumType w:start="0"/>
          <w:cols w:space="720" w:num="1"/>
          <w:titlePg/>
          <w:docGrid w:linePitch="312" w:charSpace="0"/>
        </w:sectPr>
      </w:pPr>
    </w:p>
    <w:p>
      <w:pPr>
        <w:pStyle w:val="27"/>
        <w:jc w:val="center"/>
        <w:outlineLvl w:val="0"/>
        <w:rPr>
          <w:rFonts w:ascii="Times New Roman" w:hAnsi="Times New Roman" w:eastAsia="黑体"/>
          <w:snapToGrid w:val="0"/>
          <w:color w:val="auto"/>
          <w:sz w:val="30"/>
          <w:szCs w:val="30"/>
        </w:rPr>
      </w:pPr>
      <w:bookmarkStart w:id="3" w:name="_Toc16187"/>
      <w:r>
        <w:rPr>
          <w:rFonts w:ascii="Times New Roman" w:hAnsi="Times New Roman" w:eastAsia="黑体"/>
          <w:snapToGrid w:val="0"/>
          <w:color w:val="auto"/>
          <w:sz w:val="30"/>
          <w:szCs w:val="30"/>
        </w:rPr>
        <w:t>一、建设项目基本情况</w:t>
      </w:r>
      <w:bookmarkEnd w:id="3"/>
    </w:p>
    <w:tbl>
      <w:tblPr>
        <w:tblStyle w:val="30"/>
        <w:tblW w:w="908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7"/>
        <w:gridCol w:w="1835"/>
        <w:gridCol w:w="1637"/>
        <w:gridCol w:w="2212"/>
        <w:gridCol w:w="28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6703" w:type="dxa"/>
            <w:gridSpan w:val="3"/>
            <w:noWrap w:val="0"/>
            <w:vAlign w:val="center"/>
          </w:tcPr>
          <w:p>
            <w:pPr>
              <w:adjustRightInd w:val="0"/>
              <w:snapToGrid w:val="0"/>
              <w:jc w:val="center"/>
              <w:rPr>
                <w:color w:val="auto"/>
                <w:sz w:val="24"/>
              </w:rPr>
            </w:pPr>
            <w:r>
              <w:rPr>
                <w:rFonts w:hint="eastAsia"/>
                <w:color w:val="auto"/>
                <w:sz w:val="24"/>
                <w:lang w:eastAsia="zh-CN"/>
              </w:rPr>
              <w:t>常胜乡生物质锅炉及配套设施采购项目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6703" w:type="dxa"/>
            <w:gridSpan w:val="3"/>
            <w:noWrap w:val="0"/>
            <w:vAlign w:val="center"/>
          </w:tcPr>
          <w:p>
            <w:pPr>
              <w:adjustRightInd w:val="0"/>
              <w:snapToGrid w:val="0"/>
              <w:jc w:val="center"/>
              <w:rPr>
                <w:color w:val="auto"/>
                <w:sz w:val="24"/>
              </w:rPr>
            </w:pPr>
            <w:r>
              <w:rPr>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1637" w:type="dxa"/>
            <w:noWrap w:val="0"/>
            <w:vAlign w:val="center"/>
          </w:tcPr>
          <w:p>
            <w:pPr>
              <w:adjustRightInd w:val="0"/>
              <w:snapToGrid w:val="0"/>
              <w:jc w:val="both"/>
              <w:rPr>
                <w:color w:val="auto"/>
                <w:sz w:val="24"/>
              </w:rPr>
            </w:pPr>
          </w:p>
        </w:tc>
        <w:tc>
          <w:tcPr>
            <w:tcW w:w="2212" w:type="dxa"/>
            <w:noWrap w:val="0"/>
            <w:vAlign w:val="center"/>
          </w:tcPr>
          <w:p>
            <w:pPr>
              <w:adjustRightInd w:val="0"/>
              <w:snapToGrid w:val="0"/>
              <w:jc w:val="center"/>
              <w:rPr>
                <w:color w:val="auto"/>
                <w:sz w:val="24"/>
              </w:rPr>
            </w:pPr>
            <w:r>
              <w:rPr>
                <w:color w:val="auto"/>
                <w:sz w:val="24"/>
              </w:rPr>
              <w:t>联系方式</w:t>
            </w:r>
          </w:p>
        </w:tc>
        <w:tc>
          <w:tcPr>
            <w:tcW w:w="2854" w:type="dxa"/>
            <w:noWrap w:val="0"/>
            <w:vAlign w:val="center"/>
          </w:tcPr>
          <w:p>
            <w:pPr>
              <w:adjustRightInd w:val="0"/>
              <w:snapToGrid w:val="0"/>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6703" w:type="dxa"/>
            <w:gridSpan w:val="3"/>
            <w:noWrap w:val="0"/>
            <w:vAlign w:val="center"/>
          </w:tcPr>
          <w:p>
            <w:pPr>
              <w:adjustRightInd w:val="0"/>
              <w:snapToGrid w:val="0"/>
              <w:jc w:val="center"/>
              <w:rPr>
                <w:rFonts w:hint="eastAsia" w:ascii="Times New Roman" w:hAnsi="Times New Roman" w:eastAsia="宋体" w:cs="Times New Roman"/>
                <w:color w:val="auto"/>
                <w:sz w:val="24"/>
                <w:lang w:val="en-US" w:eastAsia="zh-CN"/>
              </w:rPr>
            </w:pPr>
            <w:r>
              <w:rPr>
                <w:rFonts w:hint="eastAsia" w:cs="Times New Roman"/>
                <w:color w:val="auto"/>
                <w:sz w:val="24"/>
                <w:lang w:eastAsia="zh-CN"/>
              </w:rPr>
              <w:t>黑龙江省伊春市嘉荫县常胜乡常家村常胜乡人民政府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6703" w:type="dxa"/>
            <w:gridSpan w:val="3"/>
            <w:noWrap w:val="0"/>
            <w:vAlign w:val="center"/>
          </w:tcPr>
          <w:p>
            <w:pPr>
              <w:jc w:val="center"/>
              <w:rPr>
                <w:color w:val="auto"/>
                <w:sz w:val="24"/>
              </w:rPr>
            </w:pPr>
            <w:r>
              <w:rPr>
                <w:color w:val="auto"/>
                <w:sz w:val="24"/>
              </w:rPr>
              <w:t>（</w:t>
            </w:r>
            <w:r>
              <w:rPr>
                <w:color w:val="auto"/>
                <w:sz w:val="24"/>
                <w:u w:val="single"/>
              </w:rPr>
              <w:t>1</w:t>
            </w:r>
            <w:r>
              <w:rPr>
                <w:rFonts w:hint="eastAsia"/>
                <w:color w:val="auto"/>
                <w:sz w:val="24"/>
                <w:u w:val="single"/>
                <w:lang w:val="en-US" w:eastAsia="zh-CN"/>
              </w:rPr>
              <w:t>29</w:t>
            </w:r>
            <w:r>
              <w:rPr>
                <w:color w:val="auto"/>
                <w:sz w:val="24"/>
              </w:rPr>
              <w:t>度</w:t>
            </w:r>
            <w:r>
              <w:rPr>
                <w:rFonts w:hint="eastAsia"/>
                <w:color w:val="auto"/>
                <w:sz w:val="24"/>
                <w:u w:val="single"/>
                <w:lang w:val="en-US" w:eastAsia="zh-CN"/>
              </w:rPr>
              <w:t>31</w:t>
            </w:r>
            <w:r>
              <w:rPr>
                <w:color w:val="auto"/>
                <w:sz w:val="24"/>
              </w:rPr>
              <w:t>分</w:t>
            </w:r>
            <w:r>
              <w:rPr>
                <w:rFonts w:hint="eastAsia"/>
                <w:color w:val="auto"/>
                <w:sz w:val="24"/>
                <w:u w:val="single"/>
                <w:lang w:val="en-US" w:eastAsia="zh-CN"/>
              </w:rPr>
              <w:t>25.654</w:t>
            </w:r>
            <w:r>
              <w:rPr>
                <w:color w:val="auto"/>
                <w:sz w:val="24"/>
              </w:rPr>
              <w:t>秒，</w:t>
            </w:r>
            <w:r>
              <w:rPr>
                <w:color w:val="auto"/>
                <w:sz w:val="24"/>
                <w:u w:val="single"/>
              </w:rPr>
              <w:t>4</w:t>
            </w:r>
            <w:r>
              <w:rPr>
                <w:rFonts w:hint="eastAsia"/>
                <w:color w:val="auto"/>
                <w:sz w:val="24"/>
                <w:u w:val="single"/>
                <w:lang w:val="en-US" w:eastAsia="zh-CN"/>
              </w:rPr>
              <w:t>9</w:t>
            </w:r>
            <w:r>
              <w:rPr>
                <w:color w:val="auto"/>
                <w:sz w:val="24"/>
              </w:rPr>
              <w:t>度</w:t>
            </w:r>
            <w:r>
              <w:rPr>
                <w:rFonts w:hint="eastAsia"/>
                <w:color w:val="auto"/>
                <w:sz w:val="24"/>
                <w:u w:val="single"/>
                <w:lang w:val="en-US" w:eastAsia="zh-CN"/>
              </w:rPr>
              <w:t>24</w:t>
            </w:r>
            <w:r>
              <w:rPr>
                <w:color w:val="auto"/>
                <w:sz w:val="24"/>
              </w:rPr>
              <w:t>分</w:t>
            </w:r>
            <w:r>
              <w:rPr>
                <w:rFonts w:hint="eastAsia"/>
                <w:color w:val="auto"/>
                <w:sz w:val="24"/>
                <w:u w:val="single"/>
                <w:lang w:val="en-US" w:eastAsia="zh-CN"/>
              </w:rPr>
              <w:t>43.381</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1637" w:type="dxa"/>
            <w:noWrap w:val="0"/>
            <w:vAlign w:val="center"/>
          </w:tcPr>
          <w:p>
            <w:pPr>
              <w:adjustRightInd w:val="0"/>
              <w:snapToGrid w:val="0"/>
              <w:jc w:val="center"/>
              <w:rPr>
                <w:color w:val="auto"/>
                <w:sz w:val="24"/>
              </w:rPr>
            </w:pPr>
            <w:r>
              <w:rPr>
                <w:rFonts w:hint="eastAsia"/>
                <w:color w:val="auto"/>
                <w:sz w:val="24"/>
              </w:rPr>
              <w:t>D4430热力生产和供应</w:t>
            </w:r>
          </w:p>
        </w:tc>
        <w:tc>
          <w:tcPr>
            <w:tcW w:w="2212" w:type="dxa"/>
            <w:noWrap w:val="0"/>
            <w:vAlign w:val="center"/>
          </w:tcPr>
          <w:p>
            <w:pPr>
              <w:adjustRightInd w:val="0"/>
              <w:snapToGrid w:val="0"/>
              <w:jc w:val="center"/>
              <w:rPr>
                <w:color w:val="auto"/>
                <w:sz w:val="24"/>
              </w:rPr>
            </w:pPr>
            <w:bookmarkStart w:id="4" w:name="_Hlk49843745"/>
            <w:r>
              <w:rPr>
                <w:color w:val="auto"/>
                <w:sz w:val="24"/>
              </w:rPr>
              <w:t>建设项目</w:t>
            </w:r>
          </w:p>
          <w:p>
            <w:pPr>
              <w:adjustRightInd w:val="0"/>
              <w:snapToGrid w:val="0"/>
              <w:jc w:val="center"/>
              <w:rPr>
                <w:color w:val="auto"/>
                <w:sz w:val="24"/>
              </w:rPr>
            </w:pPr>
            <w:r>
              <w:rPr>
                <w:color w:val="auto"/>
                <w:sz w:val="24"/>
              </w:rPr>
              <w:t>行业类别</w:t>
            </w:r>
            <w:bookmarkEnd w:id="4"/>
          </w:p>
        </w:tc>
        <w:tc>
          <w:tcPr>
            <w:tcW w:w="2854" w:type="dxa"/>
            <w:noWrap w:val="0"/>
            <w:vAlign w:val="center"/>
          </w:tcPr>
          <w:p>
            <w:pPr>
              <w:rPr>
                <w:rFonts w:hint="eastAsia"/>
                <w:color w:val="auto"/>
                <w:sz w:val="24"/>
              </w:rPr>
            </w:pPr>
            <w:r>
              <w:rPr>
                <w:rFonts w:hint="eastAsia"/>
                <w:color w:val="auto"/>
                <w:sz w:val="24"/>
              </w:rPr>
              <w:t>91-热力生产和供应工程</w:t>
            </w:r>
          </w:p>
          <w:p>
            <w:pPr>
              <w:rPr>
                <w:color w:val="auto"/>
                <w:sz w:val="24"/>
              </w:rPr>
            </w:pPr>
            <w:r>
              <w:rPr>
                <w:rFonts w:hint="eastAsia"/>
                <w:color w:val="auto"/>
                <w:sz w:val="24"/>
              </w:rPr>
              <w:t>（包括建设单位自建自用的供热工程）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1637" w:type="dxa"/>
            <w:noWrap w:val="0"/>
            <w:vAlign w:val="center"/>
          </w:tcPr>
          <w:p>
            <w:pPr>
              <w:jc w:val="left"/>
              <w:rPr>
                <w:color w:val="auto"/>
                <w:sz w:val="24"/>
              </w:rPr>
            </w:pPr>
            <w:r>
              <w:rPr>
                <w:color w:val="auto"/>
                <w:sz w:val="24"/>
              </w:rPr>
              <w:t>□新建（迁建）</w:t>
            </w:r>
          </w:p>
          <w:p>
            <w:pPr>
              <w:jc w:val="left"/>
              <w:rPr>
                <w:color w:val="auto"/>
                <w:sz w:val="24"/>
              </w:rPr>
            </w:pPr>
            <w:r>
              <w:rPr>
                <w:rFonts w:hint="eastAsia"/>
                <w:color w:val="auto"/>
                <w:sz w:val="24"/>
                <w:lang w:eastAsia="zh-CN"/>
              </w:rPr>
              <w:t>☑</w:t>
            </w:r>
            <w:r>
              <w:rPr>
                <w:color w:val="auto"/>
                <w:sz w:val="24"/>
              </w:rPr>
              <w:t>改建</w:t>
            </w:r>
          </w:p>
          <w:p>
            <w:pPr>
              <w:jc w:val="left"/>
              <w:rPr>
                <w:color w:val="auto"/>
                <w:sz w:val="24"/>
              </w:rPr>
            </w:pPr>
            <w:r>
              <w:rPr>
                <w:rFonts w:hint="eastAsia"/>
                <w:color w:val="auto"/>
                <w:sz w:val="24"/>
                <w:lang w:eastAsia="zh-CN"/>
              </w:rPr>
              <w:t>☑</w:t>
            </w:r>
            <w:r>
              <w:rPr>
                <w:color w:val="auto"/>
                <w:sz w:val="24"/>
              </w:rPr>
              <w:t>扩建</w:t>
            </w:r>
          </w:p>
          <w:p>
            <w:pPr>
              <w:jc w:val="left"/>
              <w:rPr>
                <w:color w:val="auto"/>
                <w:sz w:val="24"/>
              </w:rPr>
            </w:pPr>
            <w:r>
              <w:rPr>
                <w:color w:val="auto"/>
                <w:sz w:val="24"/>
              </w:rPr>
              <w:t>□技术改造</w:t>
            </w:r>
          </w:p>
        </w:tc>
        <w:tc>
          <w:tcPr>
            <w:tcW w:w="2212" w:type="dxa"/>
            <w:noWrap w:val="0"/>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854" w:type="dxa"/>
            <w:noWrap w:val="0"/>
            <w:vAlign w:val="center"/>
          </w:tcPr>
          <w:p>
            <w:pPr>
              <w:jc w:val="left"/>
              <w:rPr>
                <w:color w:val="auto"/>
                <w:sz w:val="24"/>
              </w:rPr>
            </w:pPr>
            <w:r>
              <w:rPr>
                <w:color w:val="auto"/>
                <w:sz w:val="24"/>
              </w:rPr>
              <w:t xml:space="preserve">■首次申报项目             </w:t>
            </w:r>
          </w:p>
          <w:p>
            <w:pPr>
              <w:jc w:val="left"/>
              <w:rPr>
                <w:color w:val="auto"/>
                <w:sz w:val="24"/>
              </w:rPr>
            </w:pPr>
            <w:r>
              <w:rPr>
                <w:color w:val="auto"/>
                <w:sz w:val="24"/>
              </w:rPr>
              <w:t>□不予批准后再次申报项目</w:t>
            </w:r>
          </w:p>
          <w:p>
            <w:pPr>
              <w:jc w:val="left"/>
              <w:rPr>
                <w:color w:val="auto"/>
                <w:sz w:val="24"/>
              </w:rPr>
            </w:pPr>
            <w:r>
              <w:rPr>
                <w:color w:val="auto"/>
                <w:sz w:val="24"/>
              </w:rPr>
              <w:t xml:space="preserve">□超五年重新审核项目     </w:t>
            </w:r>
          </w:p>
          <w:p>
            <w:pPr>
              <w:jc w:val="left"/>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w:t>
            </w:r>
          </w:p>
        </w:tc>
        <w:tc>
          <w:tcPr>
            <w:tcW w:w="2212" w:type="dxa"/>
            <w:noWrap w:val="0"/>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2854" w:type="dxa"/>
            <w:noWrap w:val="0"/>
            <w:vAlign w:val="center"/>
          </w:tcPr>
          <w:p>
            <w:pPr>
              <w:adjustRightInd w:val="0"/>
              <w:snapToGrid w:val="0"/>
              <w:jc w:val="center"/>
              <w:rPr>
                <w:rFonts w:hint="eastAsia" w:eastAsia="宋体"/>
                <w:color w:val="auto"/>
                <w:sz w:val="24"/>
                <w:lang w:val="en-US" w:eastAsia="zh-CN"/>
              </w:rPr>
            </w:pP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s="Times New Roman"/>
                <w:color w:val="auto"/>
                <w:sz w:val="24"/>
                <w:szCs w:val="24"/>
                <w:lang w:val="en-US" w:eastAsia="zh-CN"/>
              </w:rPr>
              <w:t>28.9</w:t>
            </w:r>
          </w:p>
        </w:tc>
        <w:tc>
          <w:tcPr>
            <w:tcW w:w="2212" w:type="dxa"/>
            <w:noWrap w:val="0"/>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2854"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20.76</w:t>
            </w:r>
          </w:p>
        </w:tc>
        <w:tc>
          <w:tcPr>
            <w:tcW w:w="2212" w:type="dxa"/>
            <w:noWrap w:val="0"/>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2854" w:type="dxa"/>
            <w:noWrap w:val="0"/>
            <w:vAlign w:val="center"/>
          </w:tcPr>
          <w:p>
            <w:pPr>
              <w:adjustRightInd w:val="0"/>
              <w:snapToGrid w:val="0"/>
              <w:jc w:val="center"/>
              <w:rPr>
                <w:rFonts w:hint="default"/>
                <w:color w:val="auto"/>
                <w:sz w:val="24"/>
                <w:lang w:val="en-US"/>
              </w:rPr>
            </w:pPr>
            <w:r>
              <w:rPr>
                <w:rFonts w:hint="eastAsia"/>
                <w:color w:val="auto"/>
                <w:sz w:val="24"/>
                <w:lang w:val="en-US" w:eastAsia="zh-CN"/>
              </w:rPr>
              <w:t>2025年11月-12月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1637" w:type="dxa"/>
            <w:noWrap w:val="0"/>
            <w:vAlign w:val="center"/>
          </w:tcPr>
          <w:p>
            <w:pPr>
              <w:adjustRightInd w:val="0"/>
              <w:snapToGrid w:val="0"/>
              <w:rPr>
                <w:color w:val="auto"/>
                <w:sz w:val="24"/>
              </w:rPr>
            </w:pPr>
            <w:r>
              <w:rPr>
                <w:color w:val="auto"/>
                <w:sz w:val="24"/>
              </w:rPr>
              <w:t>■否</w:t>
            </w:r>
          </w:p>
          <w:p>
            <w:pPr>
              <w:adjustRightInd w:val="0"/>
              <w:snapToGrid w:val="0"/>
              <w:rPr>
                <w:color w:val="auto"/>
                <w:sz w:val="24"/>
              </w:rPr>
            </w:pPr>
            <w:r>
              <w:rPr>
                <w:color w:val="auto"/>
                <w:sz w:val="24"/>
              </w:rPr>
              <w:sym w:font="Wingdings 2" w:char="00A3"/>
            </w:r>
            <w:r>
              <w:rPr>
                <w:color w:val="auto"/>
                <w:sz w:val="24"/>
              </w:rPr>
              <w:t>是：</w:t>
            </w:r>
            <w:r>
              <w:rPr>
                <w:color w:val="auto"/>
                <w:sz w:val="24"/>
                <w:u w:val="single"/>
              </w:rPr>
              <w:t xml:space="preserve">             </w:t>
            </w:r>
          </w:p>
        </w:tc>
        <w:tc>
          <w:tcPr>
            <w:tcW w:w="2212" w:type="dxa"/>
            <w:noWrap w:val="0"/>
            <w:tcMar>
              <w:top w:w="16" w:type="dxa"/>
              <w:left w:w="16" w:type="dxa"/>
              <w:right w:w="16" w:type="dxa"/>
            </w:tcMar>
            <w:vAlign w:val="center"/>
          </w:tcPr>
          <w:p>
            <w:pPr>
              <w:adjustRightInd w:val="0"/>
              <w:snapToGrid w:val="0"/>
              <w:jc w:val="center"/>
              <w:rPr>
                <w:color w:val="auto"/>
                <w:spacing w:val="-6"/>
                <w:sz w:val="24"/>
              </w:rPr>
            </w:pPr>
            <w:r>
              <w:rPr>
                <w:color w:val="auto"/>
                <w:spacing w:val="-6"/>
                <w:sz w:val="24"/>
              </w:rPr>
              <w:t>用地（用海）</w:t>
            </w:r>
          </w:p>
          <w:p>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854"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无新增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2382" w:type="dxa"/>
            <w:gridSpan w:val="2"/>
            <w:noWrap w:val="0"/>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6703" w:type="dxa"/>
            <w:gridSpan w:val="3"/>
            <w:noWrap w:val="0"/>
            <w:vAlign w:val="center"/>
          </w:tcPr>
          <w:p>
            <w:pPr>
              <w:autoSpaceDE w:val="0"/>
              <w:autoSpaceDN w:val="0"/>
              <w:adjustRightInd w:val="0"/>
              <w:snapToGrid w:val="0"/>
              <w:jc w:val="center"/>
              <w:rPr>
                <w:color w:val="auto"/>
                <w:kern w:val="0"/>
                <w:sz w:val="24"/>
              </w:rPr>
            </w:pPr>
            <w:r>
              <w:rPr>
                <w:rFonts w:hint="eastAsia"/>
                <w:color w:val="auto"/>
                <w:szCs w:val="21"/>
              </w:rPr>
              <w:t>大气污染物主要为颗粒物， SO</w:t>
            </w:r>
            <w:r>
              <w:rPr>
                <w:rFonts w:hint="eastAsia"/>
                <w:color w:val="auto"/>
                <w:szCs w:val="21"/>
                <w:vertAlign w:val="subscript"/>
              </w:rPr>
              <w:t>2</w:t>
            </w:r>
            <w:r>
              <w:rPr>
                <w:rFonts w:hint="eastAsia"/>
                <w:color w:val="auto"/>
                <w:szCs w:val="21"/>
              </w:rPr>
              <w:t>和NO</w:t>
            </w:r>
            <w:r>
              <w:rPr>
                <w:rFonts w:hint="eastAsia"/>
                <w:color w:val="auto"/>
                <w:szCs w:val="21"/>
                <w:vertAlign w:val="subscript"/>
              </w:rPr>
              <w:t>x</w:t>
            </w:r>
            <w:r>
              <w:rPr>
                <w:rFonts w:hint="eastAsia"/>
                <w:color w:val="auto"/>
                <w:szCs w:val="21"/>
              </w:rPr>
              <w:t>，</w:t>
            </w:r>
            <w:r>
              <w:rPr>
                <w:color w:val="auto"/>
                <w:szCs w:val="21"/>
              </w:rPr>
              <w:t>本项目</w:t>
            </w:r>
            <w:r>
              <w:rPr>
                <w:rFonts w:hint="eastAsia"/>
                <w:color w:val="auto"/>
                <w:szCs w:val="21"/>
              </w:rPr>
              <w:t>锅炉</w:t>
            </w:r>
            <w:r>
              <w:rPr>
                <w:color w:val="auto"/>
                <w:szCs w:val="21"/>
              </w:rPr>
              <w:t>燃料为生物质</w:t>
            </w:r>
            <w:r>
              <w:rPr>
                <w:rFonts w:hint="eastAsia"/>
                <w:color w:val="auto"/>
                <w:szCs w:val="21"/>
              </w:rPr>
              <w:t>，根据《直接法测定固体生物质燃料中汞的试验研究》（第35卷第6期2020年11月），每1g生物质燃料含15.47ng汞，汞的含量极微少，属于微量水平，且燃料分析单中无汞及其化合物的检出数据，本项目暂不考虑汞及其化合物的排放，故不进行大气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utoSpaceDE w:val="0"/>
              <w:autoSpaceDN w:val="0"/>
              <w:adjustRightInd w:val="0"/>
              <w:snapToGrid w:val="0"/>
              <w:jc w:val="center"/>
              <w:rPr>
                <w:color w:val="auto"/>
                <w:kern w:val="0"/>
                <w:sz w:val="24"/>
              </w:rPr>
            </w:pPr>
            <w:r>
              <w:rPr>
                <w:color w:val="auto"/>
                <w:sz w:val="24"/>
              </w:rPr>
              <w:t>规划情况</w:t>
            </w:r>
          </w:p>
        </w:tc>
        <w:tc>
          <w:tcPr>
            <w:tcW w:w="8538" w:type="dxa"/>
            <w:gridSpan w:val="4"/>
            <w:noWrap w:val="0"/>
            <w:vAlign w:val="center"/>
          </w:tcPr>
          <w:p>
            <w:pPr>
              <w:adjustRightInd w:val="0"/>
              <w:snapToGrid w:val="0"/>
              <w:spacing w:line="360" w:lineRule="auto"/>
              <w:ind w:firstLine="480" w:firstLineChars="200"/>
              <w:jc w:val="center"/>
              <w:rPr>
                <w:rFonts w:hint="default" w:eastAsia="宋体"/>
                <w:color w:val="auto"/>
                <w:sz w:val="24"/>
                <w:lang w:val="en-US" w:eastAsia="zh-CN"/>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rPr>
            </w:pPr>
            <w:r>
              <w:rPr>
                <w:color w:val="auto"/>
                <w:sz w:val="24"/>
              </w:rPr>
              <w:t>评价情况</w:t>
            </w:r>
          </w:p>
        </w:tc>
        <w:tc>
          <w:tcPr>
            <w:tcW w:w="8538" w:type="dxa"/>
            <w:gridSpan w:val="4"/>
            <w:noWrap w:val="0"/>
            <w:vAlign w:val="center"/>
          </w:tcPr>
          <w:p>
            <w:pPr>
              <w:spacing w:line="360" w:lineRule="auto"/>
              <w:ind w:firstLine="480" w:firstLineChars="200"/>
              <w:jc w:val="center"/>
              <w:rPr>
                <w:rFonts w:hint="eastAsia"/>
                <w:color w:val="auto"/>
                <w:sz w:val="24"/>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utoSpaceDE w:val="0"/>
              <w:autoSpaceDN w:val="0"/>
              <w:adjustRightInd w:val="0"/>
              <w:snapToGrid w:val="0"/>
              <w:jc w:val="center"/>
              <w:rPr>
                <w:color w:val="auto"/>
                <w:kern w:val="0"/>
                <w:sz w:val="24"/>
              </w:rPr>
            </w:pPr>
            <w:r>
              <w:rPr>
                <w:color w:val="auto"/>
                <w:kern w:val="0"/>
                <w:sz w:val="24"/>
              </w:rPr>
              <w:t>规划及规划环境</w:t>
            </w:r>
          </w:p>
          <w:p>
            <w:pPr>
              <w:autoSpaceDE w:val="0"/>
              <w:autoSpaceDN w:val="0"/>
              <w:adjustRightInd w:val="0"/>
              <w:snapToGrid w:val="0"/>
              <w:jc w:val="center"/>
              <w:rPr>
                <w:color w:val="auto"/>
                <w:kern w:val="0"/>
                <w:sz w:val="24"/>
              </w:rPr>
            </w:pPr>
            <w:r>
              <w:rPr>
                <w:color w:val="auto"/>
                <w:kern w:val="0"/>
                <w:sz w:val="24"/>
              </w:rPr>
              <w:t>影响评价符合性分析</w:t>
            </w:r>
          </w:p>
        </w:tc>
        <w:tc>
          <w:tcPr>
            <w:tcW w:w="8538" w:type="dxa"/>
            <w:gridSpan w:val="4"/>
            <w:noWrap w:val="0"/>
            <w:vAlign w:val="center"/>
          </w:tcPr>
          <w:p>
            <w:pPr>
              <w:pStyle w:val="106"/>
              <w:spacing w:line="360" w:lineRule="auto"/>
              <w:ind w:firstLine="480"/>
              <w:jc w:val="center"/>
              <w:rPr>
                <w:rFonts w:hint="eastAsia"/>
                <w:color w:val="auto"/>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8538" w:type="dxa"/>
            <w:gridSpan w:val="4"/>
            <w:noWrap w:val="0"/>
            <w:vAlign w:val="center"/>
          </w:tcPr>
          <w:p>
            <w:pPr>
              <w:spacing w:line="360" w:lineRule="auto"/>
              <w:ind w:firstLine="482"/>
              <w:rPr>
                <w:b/>
                <w:bCs/>
                <w:color w:val="auto"/>
                <w:sz w:val="24"/>
              </w:rPr>
            </w:pPr>
            <w:r>
              <w:rPr>
                <w:b/>
                <w:bCs/>
                <w:color w:val="auto"/>
                <w:sz w:val="24"/>
              </w:rPr>
              <w:t>1、环境影响评价类别判定</w:t>
            </w:r>
          </w:p>
          <w:p>
            <w:pPr>
              <w:spacing w:line="360" w:lineRule="auto"/>
              <w:ind w:firstLine="480"/>
              <w:rPr>
                <w:rFonts w:hint="eastAsia"/>
                <w:color w:val="auto"/>
                <w:sz w:val="24"/>
              </w:rPr>
            </w:pPr>
            <w:r>
              <w:rPr>
                <w:rFonts w:hint="eastAsia"/>
                <w:color w:val="auto"/>
                <w:sz w:val="24"/>
              </w:rPr>
              <w:t>本项目</w:t>
            </w:r>
            <w:r>
              <w:rPr>
                <w:rFonts w:hint="eastAsia"/>
                <w:color w:val="auto"/>
                <w:sz w:val="24"/>
                <w:lang w:val="en-US" w:eastAsia="zh-CN"/>
              </w:rPr>
              <w:t>拆除原有燃煤锅炉，</w:t>
            </w:r>
            <w:r>
              <w:rPr>
                <w:rFonts w:hint="eastAsia"/>
                <w:color w:val="auto"/>
                <w:sz w:val="24"/>
              </w:rPr>
              <w:t>新建</w:t>
            </w:r>
            <w:r>
              <w:rPr>
                <w:rFonts w:hint="eastAsia"/>
                <w:color w:val="auto"/>
                <w:sz w:val="24"/>
                <w:lang w:val="en-US" w:eastAsia="zh-CN"/>
              </w:rPr>
              <w:t>1</w:t>
            </w:r>
            <w:r>
              <w:rPr>
                <w:rFonts w:hint="eastAsia"/>
                <w:color w:val="auto"/>
                <w:sz w:val="24"/>
              </w:rPr>
              <w:t>台</w:t>
            </w:r>
            <w:r>
              <w:rPr>
                <w:rFonts w:hint="eastAsia"/>
                <w:color w:val="auto"/>
                <w:sz w:val="24"/>
                <w:lang w:val="en-US" w:eastAsia="zh-CN"/>
              </w:rPr>
              <w:t>2.1MW</w:t>
            </w:r>
            <w:r>
              <w:rPr>
                <w:rFonts w:hint="eastAsia"/>
                <w:color w:val="auto"/>
                <w:sz w:val="24"/>
              </w:rPr>
              <w:t>燃</w:t>
            </w:r>
            <w:r>
              <w:rPr>
                <w:rFonts w:hint="eastAsia"/>
                <w:color w:val="auto"/>
                <w:sz w:val="24"/>
                <w:lang w:val="en-US" w:eastAsia="zh-CN"/>
              </w:rPr>
              <w:t>生物质热水</w:t>
            </w:r>
            <w:r>
              <w:rPr>
                <w:rFonts w:hint="eastAsia"/>
                <w:color w:val="auto"/>
                <w:sz w:val="24"/>
              </w:rPr>
              <w:t>锅炉，</w:t>
            </w:r>
            <w:r>
              <w:rPr>
                <w:color w:val="auto"/>
                <w:sz w:val="24"/>
              </w:rPr>
              <w:t>根据《建设项目环境影响评价分类管理名录（2021年版）》（生态环境部令第16号）相关规定，“四十</w:t>
            </w:r>
            <w:r>
              <w:rPr>
                <w:rFonts w:hint="eastAsia"/>
                <w:color w:val="auto"/>
                <w:sz w:val="24"/>
              </w:rPr>
              <w:t>一</w:t>
            </w:r>
            <w:r>
              <w:rPr>
                <w:color w:val="auto"/>
                <w:sz w:val="24"/>
              </w:rPr>
              <w:t>、</w:t>
            </w:r>
            <w:r>
              <w:rPr>
                <w:rFonts w:hint="eastAsia"/>
                <w:color w:val="auto"/>
                <w:sz w:val="24"/>
              </w:rPr>
              <w:t>电力、热力生产和供应业</w:t>
            </w:r>
            <w:r>
              <w:rPr>
                <w:color w:val="auto"/>
                <w:sz w:val="24"/>
              </w:rPr>
              <w:t>-91</w:t>
            </w:r>
            <w:r>
              <w:rPr>
                <w:rFonts w:hint="eastAsia"/>
                <w:color w:val="auto"/>
                <w:sz w:val="24"/>
              </w:rPr>
              <w:t>热力生产和供应工程（包括建设单位自建自用的供热工程）</w:t>
            </w:r>
            <w:r>
              <w:rPr>
                <w:color w:val="auto"/>
                <w:sz w:val="24"/>
              </w:rPr>
              <w:t>中“</w:t>
            </w:r>
            <w:r>
              <w:rPr>
                <w:rFonts w:hint="eastAsia"/>
                <w:color w:val="auto"/>
                <w:sz w:val="24"/>
              </w:rPr>
              <w:t>燃煤、燃油锅炉总容量6</w:t>
            </w:r>
            <w:r>
              <w:rPr>
                <w:color w:val="auto"/>
                <w:sz w:val="24"/>
              </w:rPr>
              <w:t>5</w:t>
            </w:r>
            <w:r>
              <w:rPr>
                <w:rFonts w:hint="eastAsia"/>
                <w:color w:val="auto"/>
                <w:sz w:val="24"/>
              </w:rPr>
              <w:t>吨/小时（4</w:t>
            </w:r>
            <w:r>
              <w:rPr>
                <w:color w:val="auto"/>
                <w:sz w:val="24"/>
              </w:rPr>
              <w:t>5.5</w:t>
            </w:r>
            <w:r>
              <w:rPr>
                <w:rFonts w:hint="eastAsia"/>
                <w:color w:val="auto"/>
                <w:sz w:val="24"/>
              </w:rPr>
              <w:t>兆瓦）以上的</w:t>
            </w:r>
            <w:r>
              <w:rPr>
                <w:color w:val="auto"/>
                <w:sz w:val="24"/>
              </w:rPr>
              <w:t>”应编制环境影响报告书，“</w:t>
            </w:r>
            <w:r>
              <w:rPr>
                <w:rFonts w:hint="eastAsia"/>
                <w:color w:val="auto"/>
                <w:sz w:val="24"/>
              </w:rPr>
              <w:t>燃煤、燃油锅炉总容量6</w:t>
            </w:r>
            <w:r>
              <w:rPr>
                <w:color w:val="auto"/>
                <w:sz w:val="24"/>
              </w:rPr>
              <w:t>5</w:t>
            </w:r>
            <w:r>
              <w:rPr>
                <w:rFonts w:hint="eastAsia"/>
                <w:color w:val="auto"/>
                <w:sz w:val="24"/>
              </w:rPr>
              <w:t>吨/小时（4</w:t>
            </w:r>
            <w:r>
              <w:rPr>
                <w:color w:val="auto"/>
                <w:sz w:val="24"/>
              </w:rPr>
              <w:t>5.5</w:t>
            </w:r>
            <w:r>
              <w:rPr>
                <w:rFonts w:hint="eastAsia"/>
                <w:color w:val="auto"/>
                <w:sz w:val="24"/>
              </w:rPr>
              <w:t>兆瓦）以下的；天然气锅炉总容量1吨/小时（0</w:t>
            </w:r>
            <w:r>
              <w:rPr>
                <w:color w:val="auto"/>
                <w:sz w:val="24"/>
              </w:rPr>
              <w:t>.7</w:t>
            </w:r>
            <w:r>
              <w:rPr>
                <w:rFonts w:hint="eastAsia"/>
                <w:color w:val="auto"/>
                <w:sz w:val="24"/>
              </w:rPr>
              <w:t>兆瓦）以上的；使用高污染燃料的</w:t>
            </w:r>
            <w:r>
              <w:rPr>
                <w:color w:val="auto"/>
                <w:sz w:val="24"/>
              </w:rPr>
              <w:t>”应编制环境影响报告表</w:t>
            </w:r>
            <w:r>
              <w:rPr>
                <w:rFonts w:hint="eastAsia"/>
                <w:color w:val="auto"/>
                <w:sz w:val="24"/>
                <w:lang w:eastAsia="zh-CN"/>
              </w:rPr>
              <w:t>，</w:t>
            </w:r>
            <w:r>
              <w:rPr>
                <w:rFonts w:hint="eastAsia"/>
                <w:color w:val="auto"/>
                <w:sz w:val="24"/>
              </w:rPr>
              <w:t>因此本项目应编制环境影响报告表。</w:t>
            </w:r>
          </w:p>
          <w:p>
            <w:pPr>
              <w:spacing w:line="360" w:lineRule="auto"/>
              <w:ind w:firstLine="482"/>
              <w:rPr>
                <w:b/>
                <w:bCs/>
                <w:color w:val="auto"/>
                <w:sz w:val="24"/>
              </w:rPr>
            </w:pPr>
            <w:r>
              <w:rPr>
                <w:b/>
                <w:bCs/>
                <w:color w:val="auto"/>
                <w:sz w:val="24"/>
              </w:rPr>
              <w:t>2、产业政策相符性</w:t>
            </w:r>
          </w:p>
          <w:p>
            <w:pPr>
              <w:spacing w:line="360" w:lineRule="auto"/>
              <w:ind w:firstLine="480"/>
              <w:rPr>
                <w:rFonts w:hint="eastAsia"/>
                <w:color w:val="auto"/>
                <w:sz w:val="24"/>
              </w:rPr>
            </w:pPr>
            <w:r>
              <w:rPr>
                <w:color w:val="auto"/>
                <w:sz w:val="24"/>
              </w:rPr>
              <w:t>本项目属于</w:t>
            </w:r>
            <w:r>
              <w:rPr>
                <w:rFonts w:hint="eastAsia"/>
                <w:color w:val="auto"/>
                <w:sz w:val="24"/>
              </w:rPr>
              <w:t>热力生产和供应工程</w:t>
            </w:r>
            <w:r>
              <w:rPr>
                <w:color w:val="auto"/>
                <w:sz w:val="24"/>
              </w:rPr>
              <w:t>，不属于《产业结构调整指导目录（</w:t>
            </w:r>
            <w:r>
              <w:rPr>
                <w:rFonts w:hint="eastAsia"/>
                <w:color w:val="auto"/>
                <w:sz w:val="24"/>
              </w:rPr>
              <w:t>2024</w:t>
            </w:r>
            <w:r>
              <w:rPr>
                <w:color w:val="auto"/>
                <w:sz w:val="24"/>
              </w:rPr>
              <w:t>年本）》中鼓励类、限制类及淘汰类项目，因此本项目属于允许类项目，</w:t>
            </w:r>
            <w:r>
              <w:rPr>
                <w:rFonts w:hint="eastAsia"/>
                <w:color w:val="auto"/>
                <w:sz w:val="24"/>
                <w:lang w:val="en-US" w:eastAsia="zh-CN"/>
              </w:rPr>
              <w:t>本项目供热锅炉为2.1MW燃生物质热水锅炉，不属于淘汰类设备，因此本</w:t>
            </w:r>
            <w:r>
              <w:rPr>
                <w:color w:val="auto"/>
                <w:sz w:val="24"/>
              </w:rPr>
              <w:t>项目建设符合国家产业政策。</w:t>
            </w:r>
            <w:r>
              <w:rPr>
                <w:rFonts w:hint="eastAsia"/>
                <w:color w:val="auto"/>
                <w:sz w:val="24"/>
              </w:rPr>
              <w:t xml:space="preserve"> </w:t>
            </w:r>
          </w:p>
          <w:p>
            <w:pPr>
              <w:spacing w:line="360" w:lineRule="auto"/>
              <w:ind w:firstLine="482"/>
              <w:rPr>
                <w:b/>
                <w:bCs/>
                <w:color w:val="auto"/>
                <w:sz w:val="24"/>
              </w:rPr>
            </w:pPr>
            <w:r>
              <w:rPr>
                <w:b/>
                <w:bCs/>
                <w:color w:val="auto"/>
                <w:sz w:val="24"/>
              </w:rPr>
              <w:t>3、</w:t>
            </w:r>
            <w:r>
              <w:rPr>
                <w:rFonts w:hint="eastAsia"/>
                <w:b/>
                <w:bCs/>
                <w:color w:val="auto"/>
                <w:sz w:val="24"/>
                <w:lang w:val="en-US" w:eastAsia="zh-CN"/>
              </w:rPr>
              <w:t>选址合理性</w:t>
            </w:r>
            <w:r>
              <w:rPr>
                <w:b/>
                <w:bCs/>
                <w:color w:val="auto"/>
                <w:sz w:val="24"/>
              </w:rPr>
              <w:t>分析</w:t>
            </w:r>
          </w:p>
          <w:p>
            <w:pPr>
              <w:spacing w:line="360" w:lineRule="auto"/>
              <w:ind w:firstLine="480"/>
              <w:rPr>
                <w:color w:val="auto"/>
                <w:sz w:val="24"/>
              </w:rPr>
            </w:pPr>
            <w:r>
              <w:rPr>
                <w:rFonts w:hint="default" w:ascii="Times New Roman" w:hAnsi="Times New Roman" w:cs="Times New Roman"/>
                <w:color w:val="auto"/>
                <w:sz w:val="24"/>
                <w:szCs w:val="24"/>
                <w:highlight w:val="none"/>
                <w:lang w:val="en-US" w:eastAsia="zh-CN"/>
              </w:rPr>
              <w:t>本项目位于</w:t>
            </w:r>
            <w:r>
              <w:rPr>
                <w:rFonts w:hint="eastAsia" w:cs="Times New Roman"/>
                <w:color w:val="auto"/>
                <w:sz w:val="24"/>
                <w:lang w:eastAsia="zh-CN"/>
              </w:rPr>
              <w:t>黑龙江省伊春市嘉荫县常胜乡常家村常胜乡人民政府</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kern w:val="2"/>
                <w:sz w:val="24"/>
                <w:szCs w:val="24"/>
                <w:highlight w:val="none"/>
                <w:lang w:val="en-US" w:eastAsia="zh-CN" w:bidi="ar"/>
              </w:rPr>
              <w:t>项目</w:t>
            </w:r>
            <w:r>
              <w:rPr>
                <w:rFonts w:hint="default" w:ascii="Times New Roman" w:hAnsi="Times New Roman" w:eastAsia="宋体" w:cs="Times New Roman"/>
                <w:color w:val="auto"/>
                <w:kern w:val="2"/>
                <w:sz w:val="24"/>
                <w:szCs w:val="24"/>
                <w:highlight w:val="none"/>
                <w:lang w:val="en-US" w:eastAsia="zh-CN" w:bidi="ar-SA"/>
              </w:rPr>
              <w:t>北侧为</w:t>
            </w:r>
            <w:r>
              <w:rPr>
                <w:rFonts w:hint="eastAsia" w:cs="Times New Roman"/>
                <w:color w:val="auto"/>
                <w:kern w:val="2"/>
                <w:sz w:val="24"/>
                <w:szCs w:val="24"/>
                <w:highlight w:val="none"/>
                <w:lang w:val="en-US" w:eastAsia="zh-CN" w:bidi="ar-SA"/>
              </w:rPr>
              <w:t>居民区</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西侧</w:t>
            </w:r>
            <w:r>
              <w:rPr>
                <w:rFonts w:hint="default" w:ascii="Times New Roman" w:hAnsi="Times New Roman" w:eastAsia="宋体" w:cs="Times New Roman"/>
                <w:color w:val="auto"/>
                <w:kern w:val="2"/>
                <w:sz w:val="24"/>
                <w:szCs w:val="24"/>
                <w:highlight w:val="none"/>
                <w:lang w:val="en-US" w:eastAsia="zh-CN" w:bidi="ar-SA"/>
              </w:rPr>
              <w:t>为</w:t>
            </w:r>
            <w:r>
              <w:rPr>
                <w:rFonts w:hint="eastAsia" w:cs="Times New Roman"/>
                <w:color w:val="auto"/>
                <w:kern w:val="2"/>
                <w:sz w:val="24"/>
                <w:szCs w:val="24"/>
                <w:highlight w:val="none"/>
                <w:lang w:val="en-US" w:eastAsia="zh-CN" w:bidi="ar-SA"/>
              </w:rPr>
              <w:t>居民区</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南侧为</w:t>
            </w:r>
            <w:r>
              <w:rPr>
                <w:rFonts w:hint="eastAsia" w:cs="Times New Roman"/>
                <w:color w:val="auto"/>
                <w:kern w:val="2"/>
                <w:sz w:val="24"/>
                <w:szCs w:val="24"/>
                <w:highlight w:val="none"/>
                <w:lang w:val="en-US" w:eastAsia="zh-CN" w:bidi="ar-SA"/>
              </w:rPr>
              <w:t>江山街</w:t>
            </w:r>
            <w:r>
              <w:rPr>
                <w:rFonts w:hint="eastAsia" w:ascii="Times New Roman" w:hAnsi="Times New Roman" w:eastAsia="宋体" w:cs="Times New Roman"/>
                <w:color w:val="auto"/>
                <w:kern w:val="2"/>
                <w:sz w:val="24"/>
                <w:szCs w:val="24"/>
                <w:highlight w:val="none"/>
                <w:lang w:val="en-US" w:eastAsia="zh-CN" w:bidi="ar-SA"/>
              </w:rPr>
              <w:t>，东侧为</w:t>
            </w:r>
            <w:r>
              <w:rPr>
                <w:rFonts w:hint="eastAsia" w:cs="Times New Roman"/>
                <w:color w:val="auto"/>
                <w:kern w:val="2"/>
                <w:sz w:val="24"/>
                <w:szCs w:val="24"/>
                <w:highlight w:val="none"/>
                <w:lang w:val="en-US" w:eastAsia="zh-CN" w:bidi="ar-SA"/>
              </w:rPr>
              <w:t>沿江路</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本项目烟气经</w:t>
            </w:r>
            <w:r>
              <w:rPr>
                <w:rFonts w:hint="eastAsia" w:cs="Times New Roman"/>
                <w:color w:val="auto"/>
                <w:sz w:val="24"/>
                <w:szCs w:val="24"/>
                <w:highlight w:val="none"/>
                <w:lang w:val="en-US" w:eastAsia="zh-CN"/>
              </w:rPr>
              <w:t>旋风除尘器+</w:t>
            </w:r>
            <w:r>
              <w:rPr>
                <w:rFonts w:hint="eastAsia" w:ascii="Times New Roman" w:hAnsi="Times New Roman" w:eastAsia="宋体" w:cs="Times New Roman"/>
                <w:color w:val="auto"/>
                <w:sz w:val="24"/>
                <w:szCs w:val="24"/>
                <w:highlight w:val="none"/>
                <w:lang w:val="en-US" w:eastAsia="zh-CN"/>
              </w:rPr>
              <w:t>布袋除尘器</w:t>
            </w:r>
            <w:r>
              <w:rPr>
                <w:rFonts w:hint="eastAsia" w:cs="Times New Roman"/>
                <w:color w:val="auto"/>
                <w:sz w:val="24"/>
                <w:szCs w:val="24"/>
                <w:highlight w:val="none"/>
                <w:lang w:val="en-US" w:eastAsia="zh-CN"/>
              </w:rPr>
              <w:t>+低氮燃烧技术</w:t>
            </w:r>
            <w:r>
              <w:rPr>
                <w:rFonts w:hint="eastAsia" w:ascii="Times New Roman" w:hAnsi="Times New Roman" w:eastAsia="宋体" w:cs="Times New Roman"/>
                <w:color w:val="auto"/>
                <w:sz w:val="24"/>
                <w:szCs w:val="24"/>
                <w:highlight w:val="none"/>
                <w:lang w:val="en-US" w:eastAsia="zh-CN"/>
              </w:rPr>
              <w:t>处理后经30m高烟囱排放，</w:t>
            </w:r>
            <w:r>
              <w:rPr>
                <w:rFonts w:hint="eastAsia" w:cs="Times New Roman"/>
                <w:color w:val="auto"/>
                <w:sz w:val="24"/>
                <w:szCs w:val="24"/>
                <w:highlight w:val="none"/>
                <w:lang w:val="en-US" w:eastAsia="zh-CN"/>
              </w:rPr>
              <w:t>污染物排放满足</w:t>
            </w:r>
            <w:r>
              <w:rPr>
                <w:rFonts w:hint="eastAsia" w:ascii="Times New Roman" w:hAnsi="Times New Roman" w:eastAsia="宋体" w:cs="Times New Roman"/>
                <w:color w:val="auto"/>
                <w:sz w:val="24"/>
                <w:szCs w:val="24"/>
                <w:highlight w:val="none"/>
                <w:lang w:val="en-US" w:eastAsia="zh-CN"/>
              </w:rPr>
              <w:t>《锅炉大气污染物排放标准》（GB13271-2014）表2燃</w:t>
            </w:r>
            <w:r>
              <w:rPr>
                <w:rFonts w:hint="eastAsia" w:cs="Times New Roman"/>
                <w:color w:val="auto"/>
                <w:sz w:val="24"/>
                <w:szCs w:val="24"/>
                <w:highlight w:val="none"/>
                <w:lang w:val="en-US" w:eastAsia="zh-CN"/>
              </w:rPr>
              <w:t>煤</w:t>
            </w:r>
            <w:r>
              <w:rPr>
                <w:rFonts w:hint="eastAsia" w:ascii="Times New Roman" w:hAnsi="Times New Roman" w:eastAsia="宋体" w:cs="Times New Roman"/>
                <w:color w:val="auto"/>
                <w:sz w:val="24"/>
                <w:szCs w:val="24"/>
                <w:highlight w:val="none"/>
                <w:lang w:val="en-US" w:eastAsia="zh-CN"/>
              </w:rPr>
              <w:t>锅炉大气污染物排放限值要求。采取措施后厂区内污染物排放量小，对环境空气影响较小，</w:t>
            </w:r>
            <w:r>
              <w:rPr>
                <w:rFonts w:hint="default" w:ascii="Times New Roman" w:hAnsi="Times New Roman" w:cs="Times New Roman"/>
                <w:color w:val="auto"/>
                <w:sz w:val="24"/>
                <w:szCs w:val="24"/>
                <w:highlight w:val="none"/>
                <w:lang w:val="en-US" w:eastAsia="zh-CN"/>
              </w:rPr>
              <w:t>不会对周围居民生活造成明显影响。综上所述，本项目选址较为合理。</w:t>
            </w:r>
          </w:p>
          <w:p>
            <w:pPr>
              <w:spacing w:line="360" w:lineRule="auto"/>
              <w:ind w:firstLine="482"/>
              <w:rPr>
                <w:rFonts w:hint="eastAsia" w:eastAsia="宋体"/>
                <w:b/>
                <w:bCs/>
                <w:color w:val="auto"/>
                <w:sz w:val="24"/>
                <w:lang w:val="en-US" w:eastAsia="zh-CN"/>
              </w:rPr>
            </w:pPr>
            <w:r>
              <w:rPr>
                <w:b/>
                <w:bCs/>
                <w:color w:val="auto"/>
                <w:sz w:val="24"/>
              </w:rPr>
              <w:t>4、</w:t>
            </w:r>
            <w:r>
              <w:rPr>
                <w:rFonts w:hint="eastAsia"/>
                <w:b/>
                <w:bCs/>
                <w:color w:val="auto"/>
                <w:sz w:val="24"/>
                <w:lang w:val="en-US" w:eastAsia="zh-CN"/>
              </w:rPr>
              <w:t>与生态环境分区管控</w:t>
            </w:r>
            <w:r>
              <w:rPr>
                <w:b/>
                <w:bCs/>
                <w:color w:val="auto"/>
                <w:sz w:val="24"/>
              </w:rPr>
              <w:t>符合性</w:t>
            </w:r>
            <w:r>
              <w:rPr>
                <w:rFonts w:hint="eastAsia"/>
                <w:b/>
                <w:bCs/>
                <w:color w:val="auto"/>
                <w:sz w:val="24"/>
                <w:lang w:val="en-US" w:eastAsia="zh-CN"/>
              </w:rPr>
              <w:t>分析</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（1）生态保护红线符合性</w:t>
            </w:r>
          </w:p>
          <w:p>
            <w:pPr>
              <w:autoSpaceDE w:val="0"/>
              <w:autoSpaceDN w:val="0"/>
              <w:adjustRightInd w:val="0"/>
              <w:snapToGrid w:val="0"/>
              <w:spacing w:line="360" w:lineRule="auto"/>
              <w:ind w:firstLine="480" w:firstLineChars="200"/>
              <w:jc w:val="left"/>
              <w:rPr>
                <w:rFonts w:hint="default" w:eastAsia="宋体"/>
                <w:color w:val="auto"/>
                <w:kern w:val="0"/>
                <w:sz w:val="24"/>
                <w:szCs w:val="21"/>
                <w:lang w:val="en-US" w:eastAsia="zh-CN"/>
              </w:rPr>
            </w:pPr>
            <w:r>
              <w:rPr>
                <w:rFonts w:hint="eastAsia"/>
                <w:color w:val="auto"/>
                <w:kern w:val="0"/>
                <w:sz w:val="24"/>
                <w:szCs w:val="21"/>
              </w:rPr>
              <w:t>本项目位于</w:t>
            </w:r>
            <w:r>
              <w:rPr>
                <w:rFonts w:hint="eastAsia" w:cs="Times New Roman"/>
                <w:color w:val="auto"/>
                <w:sz w:val="24"/>
                <w:lang w:eastAsia="zh-CN"/>
              </w:rPr>
              <w:t>黑龙江省伊春市嘉荫县常胜乡常家村常胜乡人民政府</w:t>
            </w:r>
            <w:r>
              <w:rPr>
                <w:rFonts w:hint="eastAsia"/>
                <w:color w:val="auto"/>
                <w:kern w:val="0"/>
                <w:sz w:val="24"/>
                <w:szCs w:val="21"/>
              </w:rPr>
              <w:t>，项目所在区域归伊春市管理，根据《伊春市生态环境准入清单》（</w:t>
            </w:r>
            <w:r>
              <w:rPr>
                <w:rFonts w:hint="eastAsia"/>
                <w:color w:val="auto"/>
                <w:kern w:val="0"/>
                <w:sz w:val="24"/>
                <w:szCs w:val="21"/>
                <w:lang w:val="en-US" w:eastAsia="zh-CN"/>
              </w:rPr>
              <w:t>2023版</w:t>
            </w:r>
            <w:r>
              <w:rPr>
                <w:rFonts w:hint="eastAsia"/>
                <w:color w:val="auto"/>
                <w:kern w:val="0"/>
                <w:sz w:val="24"/>
                <w:szCs w:val="21"/>
              </w:rPr>
              <w:t>），本项目拟建设地点属于</w:t>
            </w:r>
            <w:r>
              <w:rPr>
                <w:rFonts w:hint="eastAsia"/>
                <w:color w:val="auto"/>
                <w:kern w:val="0"/>
                <w:sz w:val="24"/>
                <w:szCs w:val="21"/>
                <w:lang w:val="en-US" w:eastAsia="zh-CN"/>
              </w:rPr>
              <w:t>一般</w:t>
            </w:r>
            <w:r>
              <w:rPr>
                <w:rFonts w:hint="eastAsia"/>
                <w:color w:val="auto"/>
                <w:kern w:val="0"/>
                <w:sz w:val="24"/>
                <w:szCs w:val="21"/>
              </w:rPr>
              <w:t>管控单元，不涉及自然保护区、地质公园、风景名胜区、森林公园、水产种质资源保护区、饮用水水源保护区、湿地公园和一级国家级公益生态林等生态保护红线区域。</w:t>
            </w:r>
            <w:r>
              <w:rPr>
                <w:rFonts w:hint="eastAsia"/>
                <w:color w:val="auto"/>
                <w:kern w:val="0"/>
                <w:sz w:val="24"/>
                <w:szCs w:val="21"/>
                <w:lang w:val="en-US" w:eastAsia="zh-CN"/>
              </w:rPr>
              <w:t>符合生态保护红线管控要求。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（2）环境质量底线符合性</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1"/>
              </w:rPr>
            </w:pPr>
            <w:r>
              <w:rPr>
                <w:rFonts w:hint="eastAsia" w:cs="Times New Roman"/>
                <w:color w:val="auto"/>
                <w:kern w:val="0"/>
                <w:sz w:val="24"/>
                <w:szCs w:val="21"/>
                <w:lang w:val="en-US" w:eastAsia="zh-CN"/>
              </w:rPr>
              <w:t>本项目所在区域大气环境满足</w:t>
            </w:r>
            <w:r>
              <w:rPr>
                <w:rFonts w:hint="eastAsia" w:ascii="Times New Roman" w:hAnsi="Times New Roman" w:eastAsia="宋体" w:cs="Times New Roman"/>
                <w:color w:val="auto"/>
                <w:kern w:val="0"/>
                <w:sz w:val="24"/>
                <w:szCs w:val="21"/>
                <w:lang w:val="en-US" w:eastAsia="zh-CN"/>
              </w:rPr>
              <w:t>《环境空气质量标准》（GB3095-2012）中的二级标准；本项目所在区域地表水环境</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eastAsia" w:cs="Times New Roman"/>
                <w:color w:val="auto"/>
                <w:kern w:val="0"/>
                <w:sz w:val="24"/>
                <w:szCs w:val="24"/>
                <w:highlight w:val="none"/>
                <w:u w:val="none" w:color="000000"/>
                <w:lang w:val="en-US" w:eastAsia="zh-CN" w:bidi="ar-SA"/>
              </w:rPr>
              <w:t>中Ⅲ类标准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，超标原因主要为受本底值影响；本项目所在区域声环境</w:t>
            </w:r>
            <w:r>
              <w:rPr>
                <w:rFonts w:ascii="Times New Roman" w:hAnsi="Times New Roman" w:eastAsia="宋体" w:cs="宋体"/>
                <w:b w:val="0"/>
                <w:bCs w:val="0"/>
                <w:color w:val="auto"/>
                <w:kern w:val="0"/>
                <w:sz w:val="24"/>
                <w:szCs w:val="24"/>
                <w:lang w:val="en-US" w:eastAsia="zh-CN" w:bidi="ar-SA"/>
              </w:rPr>
              <w:t>满足《声环境质量标准》（GB3096-2008）中</w:t>
            </w:r>
            <w:r>
              <w:rPr>
                <w:rFonts w:hint="eastAsia" w:cs="宋体"/>
                <w:b w:val="0"/>
                <w:bCs w:val="0"/>
                <w:color w:val="auto"/>
                <w:kern w:val="0"/>
                <w:sz w:val="24"/>
                <w:szCs w:val="24"/>
                <w:lang w:val="en-US" w:eastAsia="zh-CN" w:bidi="ar-SA"/>
              </w:rPr>
              <w:t>2</w:t>
            </w:r>
            <w:r>
              <w:rPr>
                <w:rFonts w:ascii="Times New Roman" w:hAnsi="Times New Roman" w:eastAsia="宋体" w:cs="宋体"/>
                <w:b w:val="0"/>
                <w:bCs w:val="0"/>
                <w:color w:val="auto"/>
                <w:kern w:val="0"/>
                <w:sz w:val="24"/>
                <w:szCs w:val="24"/>
                <w:lang w:val="en-US" w:eastAsia="zh-CN" w:bidi="ar-SA"/>
              </w:rPr>
              <w:t>类标准要求</w:t>
            </w:r>
            <w:r>
              <w:rPr>
                <w:rFonts w:hint="eastAsia" w:ascii="Times New Roman" w:hAnsi="Times New Roman" w:eastAsia="宋体" w:cs="宋体"/>
                <w:b w:val="0"/>
                <w:bCs w:val="0"/>
                <w:color w:val="auto"/>
                <w:kern w:val="0"/>
                <w:sz w:val="24"/>
                <w:szCs w:val="24"/>
                <w:lang w:val="en-US" w:eastAsia="zh-CN" w:bidi="ar-SA"/>
              </w:rPr>
              <w:t>；</w:t>
            </w:r>
            <w:r>
              <w:rPr>
                <w:rFonts w:hint="default" w:ascii="Times New Roman" w:hAnsi="Times New Roman" w:eastAsia="宋体" w:cs="Times New Roman"/>
                <w:color w:val="auto"/>
                <w:kern w:val="0"/>
                <w:sz w:val="24"/>
                <w:szCs w:val="21"/>
              </w:rPr>
              <w:t>项目投产后</w:t>
            </w:r>
            <w:r>
              <w:rPr>
                <w:rFonts w:hint="default" w:ascii="Times New Roman" w:hAnsi="Times New Roman" w:eastAsia="宋体" w:cs="Times New Roman"/>
                <w:color w:val="auto"/>
                <w:kern w:val="0"/>
                <w:sz w:val="24"/>
                <w:szCs w:val="21"/>
                <w:lang w:eastAsia="zh-CN"/>
              </w:rPr>
              <w:t>产生的</w:t>
            </w:r>
            <w:r>
              <w:rPr>
                <w:rFonts w:hint="eastAsia" w:ascii="Times New Roman" w:hAnsi="Times New Roman" w:eastAsia="宋体" w:cs="Times New Roman"/>
                <w:color w:val="auto"/>
                <w:kern w:val="0"/>
                <w:sz w:val="24"/>
                <w:szCs w:val="21"/>
                <w:lang w:val="en-US" w:eastAsia="zh-CN"/>
              </w:rPr>
              <w:t>废气</w:t>
            </w:r>
            <w:r>
              <w:rPr>
                <w:rFonts w:hint="default" w:ascii="Times New Roman" w:hAnsi="Times New Roman" w:eastAsia="宋体" w:cs="Times New Roman"/>
                <w:color w:val="auto"/>
                <w:kern w:val="0"/>
                <w:sz w:val="24"/>
                <w:szCs w:val="21"/>
                <w:lang w:eastAsia="zh-CN"/>
              </w:rPr>
              <w:t>污染物</w:t>
            </w:r>
            <w:r>
              <w:rPr>
                <w:rFonts w:hint="default" w:ascii="Times New Roman" w:hAnsi="Times New Roman" w:eastAsia="宋体" w:cs="Times New Roman"/>
                <w:color w:val="auto"/>
                <w:kern w:val="0"/>
                <w:sz w:val="24"/>
                <w:szCs w:val="21"/>
              </w:rPr>
              <w:t>经</w:t>
            </w:r>
            <w:r>
              <w:rPr>
                <w:rFonts w:hint="eastAsia" w:ascii="Times New Roman" w:hAnsi="Times New Roman" w:eastAsia="宋体" w:cs="Times New Roman"/>
                <w:color w:val="auto"/>
                <w:kern w:val="0"/>
                <w:sz w:val="24"/>
                <w:szCs w:val="21"/>
                <w:lang w:val="en-US" w:eastAsia="zh-CN"/>
              </w:rPr>
              <w:t>相应</w:t>
            </w:r>
            <w:r>
              <w:rPr>
                <w:rFonts w:hint="default" w:ascii="Times New Roman" w:hAnsi="Times New Roman" w:eastAsia="宋体" w:cs="Times New Roman"/>
                <w:color w:val="auto"/>
                <w:kern w:val="0"/>
                <w:sz w:val="24"/>
                <w:szCs w:val="21"/>
                <w:lang w:eastAsia="zh-CN"/>
              </w:rPr>
              <w:t>措施</w:t>
            </w:r>
            <w:r>
              <w:rPr>
                <w:rFonts w:hint="default" w:ascii="Times New Roman" w:hAnsi="Times New Roman" w:eastAsia="宋体" w:cs="Times New Roman"/>
                <w:color w:val="auto"/>
                <w:kern w:val="0"/>
                <w:sz w:val="24"/>
                <w:szCs w:val="21"/>
              </w:rPr>
              <w:t>处理后均能满足相应的污染物排放标准。本项目</w:t>
            </w:r>
            <w:r>
              <w:rPr>
                <w:rFonts w:hint="eastAsia" w:cs="Times New Roman"/>
                <w:color w:val="auto"/>
                <w:kern w:val="0"/>
                <w:sz w:val="24"/>
                <w:szCs w:val="21"/>
                <w:lang w:val="en-US" w:eastAsia="zh-CN"/>
              </w:rPr>
              <w:t>锅炉</w:t>
            </w:r>
            <w:r>
              <w:rPr>
                <w:rFonts w:hint="default" w:ascii="Times New Roman" w:hAnsi="Times New Roman" w:eastAsia="宋体" w:cs="Times New Roman"/>
                <w:color w:val="auto"/>
                <w:kern w:val="0"/>
                <w:sz w:val="24"/>
                <w:szCs w:val="21"/>
                <w:lang w:eastAsia="zh-CN"/>
              </w:rPr>
              <w:t>废水</w:t>
            </w:r>
            <w:r>
              <w:rPr>
                <w:rFonts w:hint="eastAsia" w:cs="Times New Roman"/>
                <w:color w:val="auto"/>
                <w:kern w:val="0"/>
                <w:sz w:val="24"/>
                <w:szCs w:val="21"/>
                <w:lang w:val="en-US" w:eastAsia="zh-CN"/>
              </w:rPr>
              <w:t>用于锅炉灰渣降尘</w:t>
            </w:r>
            <w:r>
              <w:rPr>
                <w:rFonts w:hint="eastAsia" w:ascii="Times New Roman" w:hAnsi="Times New Roman" w:eastAsia="宋体" w:cs="Times New Roman"/>
                <w:color w:val="auto"/>
                <w:kern w:val="0"/>
                <w:sz w:val="24"/>
                <w:szCs w:val="21"/>
                <w:lang w:val="en-US" w:eastAsia="zh-CN"/>
              </w:rPr>
              <w:t>，</w:t>
            </w:r>
            <w:r>
              <w:rPr>
                <w:rFonts w:hint="default" w:ascii="Times New Roman" w:hAnsi="Times New Roman" w:eastAsia="宋体" w:cs="Times New Roman"/>
                <w:color w:val="auto"/>
                <w:kern w:val="0"/>
                <w:sz w:val="24"/>
                <w:szCs w:val="21"/>
              </w:rPr>
              <w:t>对周围环境影响不大。厂界噪声满足《工业企业厂界环境噪声排放标准》（GB12348-2008）中</w:t>
            </w:r>
            <w:r>
              <w:rPr>
                <w:rFonts w:hint="eastAsia" w:ascii="Times New Roman" w:hAnsi="Times New Roman" w:eastAsia="宋体" w:cs="Times New Roman"/>
                <w:color w:val="auto"/>
                <w:kern w:val="0"/>
                <w:sz w:val="24"/>
                <w:szCs w:val="21"/>
                <w:lang w:val="en-US" w:eastAsia="zh-CN"/>
              </w:rPr>
              <w:t>2</w:t>
            </w:r>
            <w:r>
              <w:rPr>
                <w:rFonts w:hint="default" w:ascii="Times New Roman" w:hAnsi="Times New Roman" w:eastAsia="宋体" w:cs="Times New Roman"/>
                <w:color w:val="auto"/>
                <w:kern w:val="0"/>
                <w:sz w:val="24"/>
                <w:szCs w:val="21"/>
              </w:rPr>
              <w:t>类标准限值要求；本项目产生的固体废物通过相应的处理措施后，处理效率可达到100%，实现了固体废物处理的无害化，减量化及资源化的目标。经预测，本项目运营期所排放的污染物经各类污染防治措施处理后，均能达标排放，符合环境质量底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（3）资源利用</w:t>
            </w:r>
            <w:r>
              <w:rPr>
                <w:rFonts w:hint="eastAsia"/>
                <w:color w:val="auto"/>
                <w:kern w:val="0"/>
                <w:sz w:val="24"/>
                <w:szCs w:val="21"/>
              </w:rPr>
              <w:t>上线</w:t>
            </w:r>
            <w:r>
              <w:rPr>
                <w:color w:val="auto"/>
                <w:kern w:val="0"/>
                <w:sz w:val="24"/>
                <w:szCs w:val="21"/>
              </w:rPr>
              <w:t>符合性</w:t>
            </w:r>
          </w:p>
          <w:p>
            <w:pPr>
              <w:autoSpaceDE w:val="0"/>
              <w:autoSpaceDN w:val="0"/>
              <w:adjustRightInd w:val="0"/>
              <w:snapToGrid w:val="0"/>
              <w:spacing w:line="360" w:lineRule="auto"/>
              <w:ind w:firstLine="480" w:firstLineChars="200"/>
              <w:jc w:val="left"/>
              <w:rPr>
                <w:rFonts w:hint="default" w:eastAsia="宋体"/>
                <w:color w:val="auto"/>
                <w:kern w:val="0"/>
                <w:sz w:val="24"/>
                <w:szCs w:val="21"/>
                <w:lang w:val="en-US" w:eastAsia="zh-CN"/>
              </w:rPr>
            </w:pPr>
            <w:r>
              <w:rPr>
                <w:rFonts w:hint="eastAsia"/>
                <w:color w:val="auto"/>
                <w:kern w:val="0"/>
                <w:sz w:val="24"/>
                <w:szCs w:val="21"/>
                <w:lang w:val="en-US" w:eastAsia="zh-CN"/>
              </w:rPr>
              <w:t>本项目建成后用水量较小，不属于高耗水项目，燃料选用生物质燃料，不新增煤炭资源消耗，项目不新增占地，不占农用地，符合资源利用上线要求。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（4）环境准入清单符合性</w:t>
            </w:r>
          </w:p>
          <w:p>
            <w:pPr>
              <w:autoSpaceDE w:val="0"/>
              <w:autoSpaceDN w:val="0"/>
              <w:adjustRightInd w:val="0"/>
              <w:snapToGrid w:val="0"/>
              <w:spacing w:line="360" w:lineRule="auto"/>
              <w:ind w:firstLine="480" w:firstLineChars="200"/>
              <w:rPr>
                <w:color w:val="auto"/>
                <w:kern w:val="0"/>
              </w:rPr>
            </w:pPr>
            <w:r>
              <w:rPr>
                <w:color w:val="auto"/>
                <w:kern w:val="0"/>
                <w:sz w:val="24"/>
                <w:szCs w:val="21"/>
              </w:rPr>
              <w:t>本项目位于</w:t>
            </w:r>
            <w:r>
              <w:rPr>
                <w:rFonts w:hint="eastAsia" w:cs="Times New Roman"/>
                <w:color w:val="auto"/>
                <w:sz w:val="24"/>
                <w:lang w:eastAsia="zh-CN"/>
              </w:rPr>
              <w:t>黑龙江省伊春市嘉荫县常胜乡常家村常胜乡人民政府</w:t>
            </w:r>
            <w:r>
              <w:rPr>
                <w:color w:val="auto"/>
                <w:kern w:val="0"/>
                <w:sz w:val="24"/>
                <w:szCs w:val="21"/>
              </w:rPr>
              <w:t>，根据</w:t>
            </w:r>
            <w:r>
              <w:rPr>
                <w:rFonts w:hint="eastAsia"/>
                <w:color w:val="auto"/>
                <w:kern w:val="0"/>
                <w:sz w:val="24"/>
                <w:szCs w:val="21"/>
              </w:rPr>
              <w:t>《伊春市生态环境准入清单》（</w:t>
            </w:r>
            <w:r>
              <w:rPr>
                <w:rFonts w:hint="eastAsia"/>
                <w:color w:val="auto"/>
                <w:kern w:val="0"/>
                <w:sz w:val="24"/>
                <w:szCs w:val="21"/>
                <w:lang w:val="en-US" w:eastAsia="zh-CN"/>
              </w:rPr>
              <w:t>2023版</w:t>
            </w:r>
            <w:r>
              <w:rPr>
                <w:rFonts w:hint="eastAsia"/>
                <w:color w:val="auto"/>
                <w:kern w:val="0"/>
                <w:sz w:val="24"/>
                <w:szCs w:val="21"/>
              </w:rPr>
              <w:t>）</w:t>
            </w:r>
            <w:r>
              <w:rPr>
                <w:rFonts w:hint="eastAsia" w:ascii="Times New Roman" w:hAnsi="Times New Roman" w:eastAsia="宋体" w:cs="Times New Roman"/>
                <w:color w:val="auto"/>
                <w:sz w:val="24"/>
              </w:rPr>
              <w:t>及黑龙江省生态环境分区管控数据应用平台出具的“生态环境分区管控分析报告”可知，本项目位于</w:t>
            </w:r>
            <w:r>
              <w:rPr>
                <w:rFonts w:hint="eastAsia" w:ascii="Times New Roman" w:hAnsi="Times New Roman" w:eastAsia="宋体" w:cs="Times New Roman"/>
                <w:color w:val="auto"/>
                <w:sz w:val="24"/>
                <w:lang w:eastAsia="zh-CN"/>
              </w:rPr>
              <w:t>伊春市</w:t>
            </w:r>
            <w:r>
              <w:rPr>
                <w:rFonts w:hint="eastAsia" w:ascii="Times New Roman" w:hAnsi="Times New Roman" w:eastAsia="宋体" w:cs="Times New Roman"/>
                <w:color w:val="auto"/>
                <w:sz w:val="24"/>
                <w:lang w:val="en-US" w:eastAsia="zh-CN"/>
              </w:rPr>
              <w:t>嘉荫县</w:t>
            </w:r>
            <w:r>
              <w:rPr>
                <w:rFonts w:hint="eastAsia" w:ascii="Times New Roman" w:hAnsi="Times New Roman" w:eastAsia="宋体" w:cs="Times New Roman"/>
                <w:color w:val="auto"/>
                <w:sz w:val="24"/>
              </w:rPr>
              <w:t>，属于嘉荫县其他区域（ZH23072230002）。</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根据《黑龙江省生态环境分区管控应用技术指南环境影响评价》中相关规定：“环评文件涉及“三线一单”生态环境分区管控符合性分析采取“一图一表一说明”的表达方式”。本项目具体分析如下：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①一图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根据本项目“生态环境分区管控分析报告”，本项目与环境管控单元叠加图如下：</w:t>
            </w:r>
          </w:p>
          <w:p>
            <w:pPr>
              <w:autoSpaceDE w:val="0"/>
              <w:autoSpaceDN w:val="0"/>
              <w:adjustRightInd w:val="0"/>
              <w:snapToGrid w:val="0"/>
              <w:spacing w:line="360" w:lineRule="auto"/>
              <w:ind w:firstLine="420" w:firstLineChars="200"/>
              <w:rPr>
                <w:color w:val="auto"/>
              </w:rPr>
            </w:pPr>
            <w:r>
              <w:drawing>
                <wp:inline distT="0" distB="0" distL="114300" distR="114300">
                  <wp:extent cx="4879975" cy="2477770"/>
                  <wp:effectExtent l="0" t="0" r="15875" b="1778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1"/>
                          <a:stretch>
                            <a:fillRect/>
                          </a:stretch>
                        </pic:blipFill>
                        <pic:spPr>
                          <a:xfrm>
                            <a:off x="0" y="0"/>
                            <a:ext cx="4879975" cy="2477770"/>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default" w:eastAsia="宋体"/>
                <w:b/>
                <w:bCs/>
                <w:color w:val="auto"/>
                <w:sz w:val="24"/>
                <w:szCs w:val="32"/>
                <w:lang w:val="en-US" w:eastAsia="zh-CN"/>
              </w:rPr>
            </w:pPr>
            <w:r>
              <w:rPr>
                <w:rFonts w:hint="eastAsia"/>
                <w:b/>
                <w:bCs/>
                <w:color w:val="auto"/>
                <w:sz w:val="24"/>
                <w:szCs w:val="32"/>
                <w:lang w:val="en-US" w:eastAsia="zh-CN"/>
              </w:rPr>
              <w:t>图1-1 与环境管控单元位置叠加图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一</w:t>
            </w:r>
            <w:r>
              <w:rPr>
                <w:rFonts w:hint="eastAsia" w:ascii="Times New Roman" w:hAnsi="Times New Roman" w:eastAsia="宋体" w:cs="Times New Roman"/>
                <w:color w:val="auto"/>
                <w:sz w:val="24"/>
                <w:lang w:val="en-US" w:eastAsia="zh-CN"/>
              </w:rPr>
              <w:t>表</w:t>
            </w:r>
          </w:p>
          <w:p>
            <w:pPr>
              <w:autoSpaceDE w:val="0"/>
              <w:autoSpaceDN w:val="0"/>
              <w:adjustRightInd w:val="0"/>
              <w:snapToGrid w:val="0"/>
              <w:jc w:val="center"/>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 xml:space="preserve">1 </w:t>
            </w:r>
            <w:r>
              <w:rPr>
                <w:rFonts w:hint="eastAsia"/>
                <w:b/>
                <w:bCs/>
                <w:color w:val="auto"/>
                <w:sz w:val="21"/>
                <w:szCs w:val="21"/>
              </w:rPr>
              <w:t>伊春市嘉荫县</w:t>
            </w:r>
            <w:r>
              <w:rPr>
                <w:b/>
                <w:bCs/>
                <w:color w:val="auto"/>
                <w:sz w:val="21"/>
                <w:szCs w:val="21"/>
              </w:rPr>
              <w:t>生态环境准入清单符合性分析</w:t>
            </w:r>
          </w:p>
          <w:tbl>
            <w:tblPr>
              <w:tblStyle w:val="30"/>
              <w:tblpPr w:leftFromText="180" w:rightFromText="180" w:vertAnchor="text" w:horzAnchor="page" w:tblpXSpec="center" w:tblpY="274"/>
              <w:tblOverlap w:val="never"/>
              <w:tblW w:w="8315"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1"/>
              <w:gridCol w:w="663"/>
              <w:gridCol w:w="732"/>
              <w:gridCol w:w="564"/>
              <w:gridCol w:w="2762"/>
              <w:gridCol w:w="19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651"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环境管控单元编码</w:t>
                  </w:r>
                </w:p>
              </w:tc>
              <w:tc>
                <w:tcPr>
                  <w:tcW w:w="663"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单元名称</w:t>
                  </w:r>
                </w:p>
              </w:tc>
              <w:tc>
                <w:tcPr>
                  <w:tcW w:w="732"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管控单</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元类别</w:t>
                  </w:r>
                </w:p>
              </w:tc>
              <w:tc>
                <w:tcPr>
                  <w:tcW w:w="564"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管控要求</w:t>
                  </w:r>
                </w:p>
              </w:tc>
              <w:tc>
                <w:tcPr>
                  <w:tcW w:w="2762"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环境管控单元编码</w:t>
                  </w:r>
                </w:p>
              </w:tc>
              <w:tc>
                <w:tcPr>
                  <w:tcW w:w="1943"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651" w:type="dxa"/>
                  <w:noWrap w:val="0"/>
                  <w:vAlign w:val="center"/>
                </w:tcPr>
                <w:p>
                  <w:pPr>
                    <w:pStyle w:val="111"/>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ZH23072230002</w:t>
                  </w:r>
                </w:p>
              </w:tc>
              <w:tc>
                <w:tcPr>
                  <w:tcW w:w="663" w:type="dxa"/>
                  <w:noWrap w:val="0"/>
                  <w:vAlign w:val="center"/>
                </w:tcPr>
                <w:p>
                  <w:pPr>
                    <w:pStyle w:val="111"/>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嘉荫县其他区域</w:t>
                  </w:r>
                </w:p>
              </w:tc>
              <w:tc>
                <w:tcPr>
                  <w:tcW w:w="732" w:type="dxa"/>
                  <w:noWrap w:val="0"/>
                  <w:vAlign w:val="center"/>
                </w:tcPr>
                <w:p>
                  <w:pPr>
                    <w:pStyle w:val="111"/>
                    <w:adjustRightInd w:val="0"/>
                    <w:snapToGrid w:val="0"/>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一般管控单元</w:t>
                  </w:r>
                </w:p>
              </w:tc>
              <w:tc>
                <w:tcPr>
                  <w:tcW w:w="564" w:type="dxa"/>
                  <w:noWrap w:val="0"/>
                  <w:vAlign w:val="center"/>
                </w:tcPr>
                <w:p>
                  <w:pPr>
                    <w:pStyle w:val="111"/>
                    <w:adjustRightInd w:val="0"/>
                    <w:snapToGrid w:val="0"/>
                    <w:jc w:val="both"/>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空间布局约束</w:t>
                  </w:r>
                </w:p>
              </w:tc>
              <w:tc>
                <w:tcPr>
                  <w:tcW w:w="2762" w:type="dxa"/>
                  <w:noWrap w:val="0"/>
                  <w:vAlign w:val="center"/>
                </w:tcPr>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1.引导工业项目向开发区集中，促进产业集聚、资源集约、绿色发展。</w:t>
                  </w:r>
                </w:p>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943" w:type="dxa"/>
                  <w:noWrap w:val="0"/>
                  <w:vAlign w:val="center"/>
                </w:tcPr>
                <w:p>
                  <w:pPr>
                    <w:autoSpaceDE w:val="0"/>
                    <w:autoSpaceDN w:val="0"/>
                    <w:adjustRightInd w:val="0"/>
                    <w:jc w:val="left"/>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1.本项目为热力生产项目，周边无开发区。</w:t>
                  </w:r>
                </w:p>
                <w:p>
                  <w:pPr>
                    <w:autoSpaceDE w:val="0"/>
                    <w:autoSpaceDN w:val="0"/>
                    <w:adjustRightInd w:val="0"/>
                    <w:jc w:val="left"/>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2.本项目不属于电力、钢铁、建材、有色、化工、石油石化、船舶、煤炭、印染、造纸、制革、染料、焦化、电镀等行业</w:t>
                  </w:r>
                  <w:r>
                    <w:rPr>
                      <w:rFonts w:hint="eastAsia" w:eastAsia="宋体" w:cs="Times New Roman"/>
                      <w:snapToGrid w:val="0"/>
                      <w:color w:val="auto"/>
                      <w:kern w:val="0"/>
                      <w:sz w:val="21"/>
                      <w:szCs w:val="21"/>
                      <w:lang w:val="en-US" w:eastAsia="zh-CN" w:bidi="ar-SA"/>
                    </w:rPr>
                    <w:t>。</w:t>
                  </w:r>
                </w:p>
              </w:tc>
            </w:tr>
          </w:tbl>
          <w:p>
            <w:pPr>
              <w:spacing w:line="360" w:lineRule="auto"/>
              <w:ind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③一说明</w:t>
            </w:r>
          </w:p>
          <w:p>
            <w:pPr>
              <w:spacing w:line="360" w:lineRule="auto"/>
              <w:ind w:firstLine="480" w:firstLineChars="200"/>
              <w:rPr>
                <w:snapToGrid w:val="0"/>
                <w:color w:val="auto"/>
                <w:kern w:val="0"/>
                <w:sz w:val="24"/>
              </w:rPr>
            </w:pPr>
            <w:r>
              <w:rPr>
                <w:rFonts w:hint="eastAsia"/>
                <w:snapToGrid w:val="0"/>
                <w:color w:val="auto"/>
                <w:kern w:val="0"/>
                <w:sz w:val="24"/>
                <w:lang w:eastAsia="zh-CN"/>
              </w:rPr>
              <w:t>常胜乡生物质锅炉及配套设施采购项目位置涉及伊春市嘉荫县；项目占地总面积小于0.01平方公里。与生态保护红线交集面积为0.00平方公里，占项目占地面积的0.00%。与自然保护地整合优化方案数据交集面积为0.00平方公里，占项目占地面积的0.00%。保护地涉及等类型。与自然保护地（现状管理数据）交集面积为0.00平方公里，占项目占地面积的0.00%。保护地涉及等类型。与饮用水水源保护区交集面积为0.00平方公里，占项目占地面积的0.00%。与国家级水产种质资源保护区交集面积为0.00平方公里，占项目占地面积的0.00%。与环境管控单元优先保护单元交集面积为0.00平方公里，占项目占地面积的0.00%；与重点管控单元交集面积为0.00平方公里，占项目占地面积的0.00%；一般管控单元交集面积为小于0.01平方公里，占项目占地面积的100.00%。与地下水环境优先保护区交集面积为0.00平方公里，占项目占地面积的0.00%；与地下水环境重点管控区交集面积为0.00平方公里，占项目占地面积的0.00%，与地下水环境一般管控区交集面积为小于0.01平方公里，占项目占地面积的100.00%。</w:t>
            </w:r>
            <w:r>
              <w:rPr>
                <w:snapToGrid w:val="0"/>
                <w:color w:val="auto"/>
                <w:kern w:val="0"/>
                <w:sz w:val="24"/>
              </w:rPr>
              <w:t>严格落实本报告提出的环保措施后，本项目污染物均可达标排放。项目建设对周围环境影响较小，本项目符合</w:t>
            </w:r>
            <w:r>
              <w:rPr>
                <w:rFonts w:hint="eastAsia"/>
                <w:color w:val="auto"/>
                <w:kern w:val="0"/>
                <w:sz w:val="24"/>
                <w:szCs w:val="21"/>
              </w:rPr>
              <w:t>《黑龙江省人民政府关于实施“三线一单”生态环境分区管控的意见》（黑政发〔</w:t>
            </w:r>
            <w:r>
              <w:rPr>
                <w:color w:val="auto"/>
                <w:kern w:val="0"/>
                <w:sz w:val="24"/>
                <w:szCs w:val="21"/>
              </w:rPr>
              <w:t>2020</w:t>
            </w:r>
            <w:r>
              <w:rPr>
                <w:rFonts w:hint="eastAsia"/>
                <w:color w:val="auto"/>
                <w:kern w:val="0"/>
                <w:sz w:val="24"/>
                <w:szCs w:val="21"/>
              </w:rPr>
              <w:t>〕</w:t>
            </w:r>
            <w:r>
              <w:rPr>
                <w:color w:val="auto"/>
                <w:kern w:val="0"/>
                <w:sz w:val="24"/>
                <w:szCs w:val="21"/>
              </w:rPr>
              <w:t>14</w:t>
            </w:r>
            <w:r>
              <w:rPr>
                <w:rFonts w:hint="eastAsia"/>
                <w:color w:val="auto"/>
                <w:kern w:val="0"/>
                <w:sz w:val="24"/>
                <w:szCs w:val="21"/>
              </w:rPr>
              <w:t>号）和《伊春市生态环境准入清单》（</w:t>
            </w:r>
            <w:r>
              <w:rPr>
                <w:rFonts w:hint="eastAsia"/>
                <w:color w:val="auto"/>
                <w:kern w:val="0"/>
                <w:sz w:val="24"/>
                <w:szCs w:val="21"/>
                <w:lang w:val="en-US" w:eastAsia="zh-CN"/>
              </w:rPr>
              <w:t>2023版</w:t>
            </w:r>
            <w:r>
              <w:rPr>
                <w:rFonts w:hint="eastAsia"/>
                <w:color w:val="auto"/>
                <w:kern w:val="0"/>
                <w:sz w:val="24"/>
                <w:szCs w:val="21"/>
              </w:rPr>
              <w:t>）</w:t>
            </w:r>
            <w:r>
              <w:rPr>
                <w:snapToGrid w:val="0"/>
                <w:color w:val="auto"/>
                <w:kern w:val="0"/>
                <w:sz w:val="24"/>
              </w:rPr>
              <w:t>中要求。</w:t>
            </w:r>
          </w:p>
          <w:p>
            <w:pPr>
              <w:pStyle w:val="112"/>
              <w:rPr>
                <w:rFonts w:hint="default"/>
                <w:color w:val="auto"/>
                <w:lang w:val="en-US" w:eastAsia="zh-CN"/>
              </w:rPr>
            </w:pPr>
            <w:r>
              <w:rPr>
                <w:rFonts w:hint="eastAsia" w:ascii="Times New Roman" w:hAnsi="Times New Roman"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、与《黑龙江省大气污染防治行动计划实施细则》符合性分析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不属于</w:t>
            </w:r>
            <w:r>
              <w:rPr>
                <w:rFonts w:hint="eastAsia" w:ascii="Times New Roman" w:hAnsi="Times New Roman" w:eastAsia="宋体" w:cs="Times New Roman"/>
                <w:color w:val="auto"/>
                <w:sz w:val="24"/>
                <w:szCs w:val="24"/>
                <w:highlight w:val="none"/>
                <w:lang w:val="en-US" w:eastAsia="zh-CN"/>
              </w:rPr>
              <w:t>电力、冶金、石油石化、建材、焦化等重点行业，不属于钢铁、水泥、平板玻璃、电解铝等严重过剩产能项目，不属于上述高污染、高耗能行业，本项目燃生物质</w:t>
            </w:r>
            <w:r>
              <w:rPr>
                <w:rFonts w:hint="eastAsia" w:cs="Times New Roman"/>
                <w:color w:val="auto"/>
                <w:sz w:val="24"/>
                <w:szCs w:val="24"/>
                <w:highlight w:val="none"/>
                <w:lang w:val="en-US" w:eastAsia="zh-CN"/>
              </w:rPr>
              <w:t>锅炉</w:t>
            </w:r>
            <w:r>
              <w:rPr>
                <w:rFonts w:hint="eastAsia" w:ascii="Times New Roman" w:hAnsi="Times New Roman" w:eastAsia="宋体" w:cs="Times New Roman"/>
                <w:color w:val="auto"/>
                <w:sz w:val="24"/>
                <w:szCs w:val="24"/>
                <w:highlight w:val="none"/>
                <w:lang w:val="en-US" w:eastAsia="zh-CN"/>
              </w:rPr>
              <w:t>烟气经</w:t>
            </w:r>
            <w:r>
              <w:rPr>
                <w:rFonts w:hint="eastAsia" w:cs="Times New Roman"/>
                <w:color w:val="auto"/>
                <w:sz w:val="24"/>
                <w:szCs w:val="24"/>
                <w:highlight w:val="none"/>
                <w:lang w:val="en-US" w:eastAsia="zh-CN"/>
              </w:rPr>
              <w:t>旋风+</w:t>
            </w:r>
            <w:r>
              <w:rPr>
                <w:rFonts w:hint="eastAsia" w:ascii="Times New Roman" w:hAnsi="Times New Roman" w:eastAsia="宋体" w:cs="Times New Roman"/>
                <w:color w:val="auto"/>
                <w:sz w:val="24"/>
                <w:szCs w:val="24"/>
                <w:highlight w:val="none"/>
                <w:lang w:val="en-US" w:eastAsia="zh-CN"/>
              </w:rPr>
              <w:t>布袋除尘器</w:t>
            </w:r>
            <w:r>
              <w:rPr>
                <w:rFonts w:hint="eastAsia" w:cs="Times New Roman"/>
                <w:color w:val="auto"/>
                <w:sz w:val="24"/>
                <w:szCs w:val="24"/>
                <w:highlight w:val="none"/>
                <w:lang w:val="en-US" w:eastAsia="zh-CN"/>
              </w:rPr>
              <w:t>+低氮燃烧技术</w:t>
            </w:r>
            <w:r>
              <w:rPr>
                <w:rFonts w:hint="eastAsia" w:ascii="Times New Roman" w:hAnsi="Times New Roman" w:eastAsia="宋体" w:cs="Times New Roman"/>
                <w:color w:val="auto"/>
                <w:sz w:val="24"/>
                <w:szCs w:val="24"/>
                <w:highlight w:val="none"/>
                <w:lang w:val="en-US" w:eastAsia="zh-CN"/>
              </w:rPr>
              <w:t>处理后经30m高烟囱排放，</w:t>
            </w:r>
            <w:r>
              <w:rPr>
                <w:rFonts w:hint="eastAsia" w:cs="Times New Roman"/>
                <w:color w:val="auto"/>
                <w:sz w:val="24"/>
                <w:szCs w:val="24"/>
                <w:highlight w:val="none"/>
                <w:lang w:val="en-US" w:eastAsia="zh-CN"/>
              </w:rPr>
              <w:t>燃料为生物质，不使用煤作为燃料，污染物排放满足</w:t>
            </w:r>
            <w:r>
              <w:rPr>
                <w:rFonts w:hint="eastAsia" w:ascii="Times New Roman" w:hAnsi="Times New Roman" w:eastAsia="宋体" w:cs="Times New Roman"/>
                <w:color w:val="auto"/>
                <w:sz w:val="24"/>
                <w:szCs w:val="24"/>
                <w:highlight w:val="none"/>
                <w:lang w:val="en-US" w:eastAsia="zh-CN"/>
              </w:rPr>
              <w:t>《锅炉大气污染物排放标准》（GB13271-2014）表2燃煤锅炉大气污染物排放限值要求。采取措施后厂区内污染物排放量小，对环境空气影响较小，因此本项目符合《黑龙江省大气污染防治行动计划实施细则》要求。</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5</w:t>
            </w:r>
            <w:r>
              <w:rPr>
                <w:rFonts w:hint="default" w:ascii="Times New Roman" w:hAnsi="Times New Roman" w:cs="Times New Roman"/>
                <w:color w:val="auto"/>
                <w:kern w:val="0"/>
                <w:sz w:val="24"/>
              </w:rPr>
              <w:t>、与《伊春市空气质量持续改善行动计划实施方案》</w:t>
            </w:r>
            <w:r>
              <w:rPr>
                <w:rFonts w:hint="eastAsia" w:cs="Times New Roman"/>
                <w:color w:val="auto"/>
                <w:kern w:val="0"/>
                <w:sz w:val="24"/>
                <w:lang w:val="en-US" w:eastAsia="zh-CN"/>
              </w:rPr>
              <w:t>符合性</w:t>
            </w:r>
            <w:r>
              <w:rPr>
                <w:rFonts w:hint="default" w:ascii="Times New Roman" w:hAnsi="Times New Roman" w:cs="Times New Roman"/>
                <w:color w:val="auto"/>
                <w:kern w:val="0"/>
                <w:sz w:val="24"/>
              </w:rPr>
              <w:t>分析</w:t>
            </w:r>
          </w:p>
          <w:p>
            <w:pPr>
              <w:pStyle w:val="112"/>
              <w:ind w:firstLine="480"/>
              <w:rPr>
                <w:rFonts w:hint="default" w:ascii="Times New Roman" w:hAnsi="Times New Roman" w:eastAsia="宋体" w:cs="Times New Roman"/>
                <w:color w:val="auto"/>
              </w:rPr>
            </w:pPr>
            <w:r>
              <w:rPr>
                <w:rFonts w:hint="default" w:ascii="Times New Roman" w:hAnsi="Times New Roman" w:cs="Times New Roman"/>
                <w:color w:val="auto"/>
                <w:kern w:val="0"/>
                <w:sz w:val="24"/>
              </w:rPr>
              <w:t>实施方案</w:t>
            </w:r>
            <w:r>
              <w:rPr>
                <w:rFonts w:hint="default" w:ascii="Times New Roman" w:hAnsi="Times New Roman" w:cs="Times New Roman"/>
                <w:color w:val="auto"/>
                <w:kern w:val="0"/>
                <w:sz w:val="24"/>
                <w:lang w:val="en-US" w:eastAsia="zh-CN"/>
              </w:rPr>
              <w:t>中提出</w:t>
            </w:r>
            <w:r>
              <w:rPr>
                <w:rFonts w:hint="default" w:ascii="Times New Roman" w:hAnsi="Times New Roman" w:cs="Times New Roman"/>
                <w:color w:val="auto"/>
              </w:rPr>
              <w:t>积极推进燃煤锅炉淘汰改造。各县</w:t>
            </w:r>
            <w:r>
              <w:rPr>
                <w:rFonts w:hint="eastAsia" w:ascii="Times New Roman" w:hAnsi="Times New Roman" w:cs="Times New Roman"/>
                <w:color w:val="auto"/>
                <w:lang w:eastAsia="zh-CN"/>
              </w:rPr>
              <w:t>（</w:t>
            </w:r>
            <w:r>
              <w:rPr>
                <w:rFonts w:hint="default" w:ascii="Times New Roman" w:hAnsi="Times New Roman" w:cs="Times New Roman"/>
                <w:color w:val="auto"/>
              </w:rPr>
              <w:t>市</w:t>
            </w:r>
            <w:r>
              <w:rPr>
                <w:rFonts w:hint="eastAsia" w:ascii="Times New Roman" w:hAnsi="Times New Roman" w:cs="Times New Roman"/>
                <w:color w:val="auto"/>
                <w:lang w:eastAsia="zh-CN"/>
              </w:rPr>
              <w:t>）</w:t>
            </w:r>
            <w:r>
              <w:rPr>
                <w:rFonts w:hint="default" w:ascii="Times New Roman" w:hAnsi="Times New Roman" w:cs="Times New Roman"/>
                <w:color w:val="auto"/>
              </w:rPr>
              <w:t>区要将燃煤供热锅炉替代项目纳入城镇供热规划。县级及以上城市建成区原则上不再新建35蒸吨/小时及以下燃煤锅炉</w:t>
            </w:r>
            <w:r>
              <w:rPr>
                <w:rFonts w:hint="eastAsia" w:ascii="Times New Roman" w:hAnsi="Times New Roman" w:cs="Times New Roman"/>
                <w:color w:val="auto"/>
                <w:lang w:eastAsia="zh-CN"/>
              </w:rPr>
              <w:t>，</w:t>
            </w:r>
            <w:r>
              <w:rPr>
                <w:rFonts w:hint="default" w:ascii="Times New Roman" w:hAnsi="Times New Roman" w:cs="Times New Roman"/>
                <w:color w:val="auto"/>
              </w:rPr>
              <w:t>其他地区原则上不再新建10蒸吨/小时及以下燃煤锅炉。加快热力管网建设，依托电厂、大型工业企业开展远距离供热示范，充分释放热电联产、工业余热等</w:t>
            </w:r>
            <w:r>
              <w:rPr>
                <w:rFonts w:hint="default" w:ascii="Times New Roman" w:hAnsi="Times New Roman" w:eastAsia="宋体" w:cs="Times New Roman"/>
                <w:color w:val="auto"/>
              </w:rPr>
              <w:t>供热能力，淘汰管网覆盖范围内的供热燃煤锅炉和散煤。</w:t>
            </w:r>
          </w:p>
          <w:p>
            <w:pPr>
              <w:pStyle w:val="112"/>
              <w:ind w:firstLine="48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本项目使用生物质燃料，</w:t>
            </w:r>
            <w:r>
              <w:rPr>
                <w:rFonts w:hint="eastAsia" w:ascii="Times New Roman" w:hAnsi="Times New Roman" w:cs="Times New Roman"/>
                <w:color w:val="auto"/>
                <w:lang w:val="en-US" w:eastAsia="zh-CN"/>
              </w:rPr>
              <w:t>不使用煤作为燃料，</w:t>
            </w:r>
            <w:r>
              <w:rPr>
                <w:rFonts w:hint="default" w:ascii="Times New Roman" w:hAnsi="Times New Roman" w:eastAsia="宋体" w:cs="Times New Roman"/>
                <w:color w:val="auto"/>
                <w:lang w:val="en-US" w:eastAsia="zh-CN"/>
              </w:rPr>
              <w:t>建设</w:t>
            </w:r>
            <w:r>
              <w:rPr>
                <w:rFonts w:hint="eastAsia" w:ascii="Times New Roman" w:hAnsi="Times New Roman" w:eastAsia="宋体" w:cs="Times New Roman"/>
                <w:color w:val="auto"/>
                <w:lang w:val="en-US" w:eastAsia="zh-CN"/>
              </w:rPr>
              <w:t>2.1MW</w:t>
            </w:r>
            <w:r>
              <w:rPr>
                <w:rFonts w:hint="default" w:ascii="Times New Roman" w:hAnsi="Times New Roman" w:cs="Times New Roman"/>
                <w:color w:val="auto"/>
              </w:rPr>
              <w:t>燃生物质</w:t>
            </w:r>
            <w:r>
              <w:rPr>
                <w:rFonts w:hint="eastAsia" w:ascii="Times New Roman" w:hAnsi="Times New Roman" w:cs="Times New Roman"/>
                <w:color w:val="auto"/>
                <w:lang w:val="en-US" w:eastAsia="zh-CN"/>
              </w:rPr>
              <w:t>热水</w:t>
            </w:r>
            <w:r>
              <w:rPr>
                <w:rFonts w:hint="default" w:ascii="Times New Roman" w:hAnsi="Times New Roman" w:cs="Times New Roman"/>
                <w:color w:val="auto"/>
              </w:rPr>
              <w:t>锅炉</w:t>
            </w:r>
            <w:r>
              <w:rPr>
                <w:rFonts w:hint="eastAsia" w:ascii="Times New Roman" w:hAnsi="Times New Roman" w:cs="Times New Roman"/>
                <w:color w:val="auto"/>
                <w:lang w:eastAsia="zh-CN"/>
              </w:rPr>
              <w:t>，</w:t>
            </w:r>
            <w:r>
              <w:rPr>
                <w:rFonts w:hint="default" w:ascii="Times New Roman" w:hAnsi="Times New Roman" w:cs="Times New Roman"/>
                <w:color w:val="auto"/>
              </w:rPr>
              <w:t>锅炉烟气经</w:t>
            </w:r>
            <w:r>
              <w:rPr>
                <w:rFonts w:hint="eastAsia" w:ascii="Times New Roman" w:hAnsi="Times New Roman" w:cs="Times New Roman"/>
                <w:color w:val="auto"/>
                <w:lang w:val="en-US" w:eastAsia="zh-CN"/>
              </w:rPr>
              <w:t>旋风除尘+</w:t>
            </w:r>
            <w:r>
              <w:rPr>
                <w:rFonts w:hint="default" w:ascii="Times New Roman" w:hAnsi="Times New Roman" w:cs="Times New Roman"/>
                <w:color w:val="auto"/>
              </w:rPr>
              <w:t>布袋除尘器+低氮燃烧</w:t>
            </w:r>
            <w:r>
              <w:rPr>
                <w:rFonts w:hint="eastAsia" w:ascii="Times New Roman" w:hAnsi="Times New Roman" w:cs="Times New Roman"/>
                <w:color w:val="auto"/>
                <w:lang w:val="en-US" w:eastAsia="zh-CN"/>
              </w:rPr>
              <w:t>技术</w:t>
            </w:r>
            <w:r>
              <w:rPr>
                <w:rFonts w:hint="default" w:ascii="Times New Roman" w:hAnsi="Times New Roman" w:cs="Times New Roman"/>
                <w:color w:val="auto"/>
              </w:rPr>
              <w:t>处理后，通过</w:t>
            </w:r>
            <w:r>
              <w:rPr>
                <w:rFonts w:hint="eastAsia" w:ascii="Times New Roman" w:hAnsi="Times New Roman" w:cs="Times New Roman"/>
                <w:color w:val="auto"/>
                <w:lang w:val="en-US" w:eastAsia="zh-CN"/>
              </w:rPr>
              <w:t>30</w:t>
            </w:r>
            <w:r>
              <w:rPr>
                <w:rFonts w:hint="default" w:ascii="Times New Roman" w:hAnsi="Times New Roman" w:cs="Times New Roman"/>
                <w:color w:val="auto"/>
              </w:rPr>
              <w:t>m高烟囱排放</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符合</w:t>
            </w:r>
            <w:r>
              <w:rPr>
                <w:rFonts w:hint="default" w:ascii="Times New Roman" w:hAnsi="Times New Roman" w:cs="Times New Roman"/>
                <w:color w:val="auto"/>
                <w:kern w:val="0"/>
                <w:sz w:val="24"/>
              </w:rPr>
              <w:t>《伊春市空气质量持续改善行动计划实施方案》</w:t>
            </w:r>
            <w:r>
              <w:rPr>
                <w:rFonts w:hint="eastAsia" w:ascii="Times New Roman" w:hAnsi="Times New Roman" w:cs="Times New Roman"/>
                <w:color w:val="auto"/>
                <w:kern w:val="0"/>
                <w:sz w:val="24"/>
                <w:lang w:val="en-US" w:eastAsia="zh-CN"/>
              </w:rPr>
              <w:t>要求</w:t>
            </w:r>
          </w:p>
          <w:p>
            <w:pPr>
              <w:pStyle w:val="112"/>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6、与</w:t>
            </w:r>
            <w:r>
              <w:rPr>
                <w:rFonts w:hint="default" w:ascii="Times New Roman" w:hAnsi="Times New Roman" w:cs="Times New Roman"/>
                <w:color w:val="auto"/>
                <w:lang w:val="en-US" w:eastAsia="zh-CN"/>
              </w:rPr>
              <w:t>《伊春市十四五生态环境保护规划》</w:t>
            </w:r>
            <w:r>
              <w:rPr>
                <w:rFonts w:hint="eastAsia" w:ascii="Times New Roman" w:hAnsi="Times New Roman" w:cs="Times New Roman"/>
                <w:color w:val="auto"/>
                <w:lang w:val="en-US" w:eastAsia="zh-CN"/>
              </w:rPr>
              <w:t>符合性分析</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规划中提出深化燃煤污染治理，严格控制煤炭消费总量。加大清洁能源的供应和推广力度，推进天然气、电能替代燃煤，深入开展工业企业提标改造，推进火电、钢铁企业实施超低排放改造。县级及以上城市建成区原则上不再新建每小时35蒸吨以下的燃煤锅炉，其他地区原则上不再新建每小时10蒸吨以下的燃煤锅炉，持续巩固燃煤锅炉淘汰改造成果。</w:t>
            </w:r>
          </w:p>
          <w:p>
            <w:pPr>
              <w:pStyle w:val="2"/>
              <w:keepLines w:val="0"/>
              <w:pageBreakBefore w:val="0"/>
              <w:widowControl w:val="0"/>
              <w:kinsoku/>
              <w:wordWrap/>
              <w:topLinePunct w:val="0"/>
              <w:autoSpaceDE/>
              <w:autoSpaceDN/>
              <w:bidi w:val="0"/>
              <w:adjustRightInd/>
              <w:spacing w:before="0" w:after="0" w:line="360" w:lineRule="auto"/>
              <w:ind w:left="0" w:firstLine="480" w:firstLineChars="200"/>
              <w:textAlignment w:val="auto"/>
              <w:rPr>
                <w:rFonts w:hint="default"/>
                <w:color w:val="auto"/>
                <w:lang w:val="en-US"/>
              </w:rPr>
            </w:pPr>
            <w:bookmarkStart w:id="5" w:name="_Toc10371"/>
            <w:bookmarkStart w:id="6" w:name="_Toc3133"/>
            <w:r>
              <w:rPr>
                <w:rFonts w:hint="default" w:ascii="Times New Roman" w:hAnsi="Times New Roman" w:eastAsia="宋体" w:cs="Times New Roman"/>
                <w:b w:val="0"/>
                <w:bCs w:val="0"/>
                <w:color w:val="auto"/>
                <w:kern w:val="2"/>
                <w:sz w:val="24"/>
                <w:szCs w:val="24"/>
                <w:lang w:val="en-US" w:eastAsia="zh-CN" w:bidi="ar-SA"/>
              </w:rPr>
              <w:t>本项目使用生物质燃料，</w:t>
            </w:r>
            <w:r>
              <w:rPr>
                <w:rFonts w:hint="eastAsia" w:ascii="Times New Roman" w:hAnsi="Times New Roman" w:eastAsia="宋体" w:cs="Times New Roman"/>
                <w:b w:val="0"/>
                <w:bCs w:val="0"/>
                <w:color w:val="auto"/>
                <w:kern w:val="2"/>
                <w:sz w:val="24"/>
                <w:szCs w:val="24"/>
                <w:lang w:val="en-US" w:eastAsia="zh-CN" w:bidi="ar-SA"/>
              </w:rPr>
              <w:t>不使用煤作为燃料，</w:t>
            </w:r>
            <w:r>
              <w:rPr>
                <w:rFonts w:hint="default" w:ascii="Times New Roman" w:hAnsi="Times New Roman" w:eastAsia="宋体" w:cs="Times New Roman"/>
                <w:b w:val="0"/>
                <w:bCs w:val="0"/>
                <w:color w:val="auto"/>
                <w:kern w:val="2"/>
                <w:sz w:val="24"/>
                <w:szCs w:val="24"/>
                <w:lang w:val="en-US" w:eastAsia="zh-CN" w:bidi="ar-SA"/>
              </w:rPr>
              <w:t>建设</w:t>
            </w:r>
            <w:r>
              <w:rPr>
                <w:rFonts w:hint="eastAsia" w:ascii="Times New Roman" w:hAnsi="Times New Roman" w:eastAsia="宋体" w:cs="Times New Roman"/>
                <w:b w:val="0"/>
                <w:bCs w:val="0"/>
                <w:color w:val="auto"/>
                <w:kern w:val="2"/>
                <w:sz w:val="24"/>
                <w:szCs w:val="24"/>
                <w:lang w:val="en-US" w:eastAsia="zh-CN" w:bidi="ar-SA"/>
              </w:rPr>
              <w:t>2.1MW</w:t>
            </w:r>
            <w:r>
              <w:rPr>
                <w:rFonts w:hint="default" w:ascii="Times New Roman" w:hAnsi="Times New Roman" w:eastAsia="宋体" w:cs="Times New Roman"/>
                <w:b w:val="0"/>
                <w:bCs w:val="0"/>
                <w:color w:val="auto"/>
                <w:kern w:val="2"/>
                <w:sz w:val="24"/>
                <w:szCs w:val="24"/>
                <w:lang w:val="en-US" w:eastAsia="zh-CN" w:bidi="ar-SA"/>
              </w:rPr>
              <w:t>燃生物质</w:t>
            </w:r>
            <w:r>
              <w:rPr>
                <w:rFonts w:hint="eastAsia" w:ascii="Times New Roman" w:hAnsi="Times New Roman" w:eastAsia="宋体" w:cs="Times New Roman"/>
                <w:b w:val="0"/>
                <w:bCs w:val="0"/>
                <w:color w:val="auto"/>
                <w:kern w:val="2"/>
                <w:sz w:val="24"/>
                <w:szCs w:val="24"/>
                <w:lang w:val="en-US" w:eastAsia="zh-CN" w:bidi="ar-SA"/>
              </w:rPr>
              <w:t>热水</w:t>
            </w:r>
            <w:r>
              <w:rPr>
                <w:rFonts w:hint="default" w:ascii="Times New Roman" w:hAnsi="Times New Roman" w:eastAsia="宋体" w:cs="Times New Roman"/>
                <w:b w:val="0"/>
                <w:bCs w:val="0"/>
                <w:color w:val="auto"/>
                <w:kern w:val="2"/>
                <w:sz w:val="24"/>
                <w:szCs w:val="24"/>
                <w:lang w:val="en-US" w:eastAsia="zh-CN" w:bidi="ar-SA"/>
              </w:rPr>
              <w:t>锅炉</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锅炉烟气经</w:t>
            </w:r>
            <w:r>
              <w:rPr>
                <w:rFonts w:hint="eastAsia" w:ascii="Times New Roman" w:hAnsi="Times New Roman" w:eastAsia="宋体" w:cs="Times New Roman"/>
                <w:b w:val="0"/>
                <w:bCs w:val="0"/>
                <w:color w:val="auto"/>
                <w:kern w:val="2"/>
                <w:sz w:val="24"/>
                <w:szCs w:val="24"/>
                <w:lang w:val="en-US" w:eastAsia="zh-CN" w:bidi="ar-SA"/>
              </w:rPr>
              <w:t>旋风除尘+</w:t>
            </w:r>
            <w:r>
              <w:rPr>
                <w:rFonts w:hint="default" w:ascii="Times New Roman" w:hAnsi="Times New Roman" w:eastAsia="宋体" w:cs="Times New Roman"/>
                <w:b w:val="0"/>
                <w:bCs w:val="0"/>
                <w:color w:val="auto"/>
                <w:kern w:val="2"/>
                <w:sz w:val="24"/>
                <w:szCs w:val="24"/>
                <w:lang w:val="en-US" w:eastAsia="zh-CN" w:bidi="ar-SA"/>
              </w:rPr>
              <w:t>布袋除尘器+低氮燃烧</w:t>
            </w:r>
            <w:r>
              <w:rPr>
                <w:rFonts w:hint="eastAsia" w:eastAsia="宋体" w:cs="Times New Roman"/>
                <w:b w:val="0"/>
                <w:bCs w:val="0"/>
                <w:color w:val="auto"/>
                <w:kern w:val="2"/>
                <w:sz w:val="24"/>
                <w:szCs w:val="24"/>
                <w:lang w:val="en-US" w:eastAsia="zh-CN" w:bidi="ar-SA"/>
              </w:rPr>
              <w:t>技术</w:t>
            </w:r>
            <w:r>
              <w:rPr>
                <w:rFonts w:hint="default" w:ascii="Times New Roman" w:hAnsi="Times New Roman" w:eastAsia="宋体" w:cs="Times New Roman"/>
                <w:b w:val="0"/>
                <w:bCs w:val="0"/>
                <w:color w:val="auto"/>
                <w:kern w:val="2"/>
                <w:sz w:val="24"/>
                <w:szCs w:val="24"/>
                <w:lang w:val="en-US" w:eastAsia="zh-CN" w:bidi="ar-SA"/>
              </w:rPr>
              <w:t>处理后，通过</w:t>
            </w:r>
            <w:r>
              <w:rPr>
                <w:rFonts w:hint="eastAsia" w:ascii="Times New Roman" w:hAnsi="Times New Roman" w:eastAsia="宋体" w:cs="Times New Roman"/>
                <w:b w:val="0"/>
                <w:bCs w:val="0"/>
                <w:color w:val="auto"/>
                <w:kern w:val="2"/>
                <w:sz w:val="24"/>
                <w:szCs w:val="24"/>
                <w:lang w:val="en-US" w:eastAsia="zh-CN" w:bidi="ar-SA"/>
              </w:rPr>
              <w:t>30</w:t>
            </w:r>
            <w:r>
              <w:rPr>
                <w:rFonts w:hint="default" w:ascii="Times New Roman" w:hAnsi="Times New Roman" w:eastAsia="宋体" w:cs="Times New Roman"/>
                <w:b w:val="0"/>
                <w:bCs w:val="0"/>
                <w:color w:val="auto"/>
                <w:kern w:val="2"/>
                <w:sz w:val="24"/>
                <w:szCs w:val="24"/>
                <w:lang w:val="en-US" w:eastAsia="zh-CN" w:bidi="ar-SA"/>
              </w:rPr>
              <w:t>m高烟囱排放</w:t>
            </w:r>
            <w:r>
              <w:rPr>
                <w:rFonts w:hint="eastAsia" w:ascii="Times New Roman" w:hAnsi="Times New Roman" w:eastAsia="宋体" w:cs="Times New Roman"/>
                <w:b w:val="0"/>
                <w:bCs w:val="0"/>
                <w:color w:val="auto"/>
                <w:kern w:val="2"/>
                <w:sz w:val="24"/>
                <w:szCs w:val="24"/>
                <w:lang w:val="en-US" w:eastAsia="zh-CN" w:bidi="ar-SA"/>
              </w:rPr>
              <w:t>。符合</w:t>
            </w:r>
            <w:r>
              <w:rPr>
                <w:rFonts w:hint="default" w:ascii="Times New Roman" w:hAnsi="Times New Roman" w:eastAsia="宋体" w:cs="Times New Roman"/>
                <w:b w:val="0"/>
                <w:bCs w:val="0"/>
                <w:color w:val="auto"/>
                <w:kern w:val="2"/>
                <w:sz w:val="24"/>
                <w:szCs w:val="24"/>
                <w:lang w:val="en-US" w:eastAsia="zh-CN" w:bidi="ar-SA"/>
              </w:rPr>
              <w:t>《伊春市十四五生态环境保护规划》</w:t>
            </w:r>
            <w:r>
              <w:rPr>
                <w:rFonts w:hint="eastAsia" w:ascii="Times New Roman" w:hAnsi="Times New Roman" w:eastAsia="宋体" w:cs="Times New Roman"/>
                <w:b w:val="0"/>
                <w:bCs w:val="0"/>
                <w:color w:val="auto"/>
                <w:kern w:val="2"/>
                <w:sz w:val="24"/>
                <w:szCs w:val="24"/>
                <w:lang w:val="en-US" w:eastAsia="zh-CN" w:bidi="ar-SA"/>
              </w:rPr>
              <w:t>要求</w:t>
            </w:r>
            <w:bookmarkEnd w:id="5"/>
            <w:bookmarkEnd w:id="6"/>
          </w:p>
        </w:tc>
      </w:tr>
    </w:tbl>
    <w:p>
      <w:pPr>
        <w:spacing w:line="360" w:lineRule="auto"/>
        <w:outlineLvl w:val="0"/>
        <w:rPr>
          <w:rFonts w:eastAsia="黑体"/>
          <w:color w:val="auto"/>
          <w:sz w:val="30"/>
        </w:rPr>
        <w:sectPr>
          <w:footerReference r:id="rId6" w:type="default"/>
          <w:pgSz w:w="11906" w:h="16838"/>
          <w:pgMar w:top="1701" w:right="1531" w:bottom="1701" w:left="1531" w:header="851" w:footer="1077" w:gutter="0"/>
          <w:cols w:space="720" w:num="1"/>
          <w:docGrid w:linePitch="312" w:charSpace="0"/>
        </w:sectPr>
      </w:pPr>
    </w:p>
    <w:p>
      <w:pPr>
        <w:pStyle w:val="27"/>
        <w:jc w:val="center"/>
        <w:outlineLvl w:val="0"/>
        <w:rPr>
          <w:rFonts w:ascii="Times New Roman" w:hAnsi="Times New Roman" w:eastAsia="黑体"/>
          <w:snapToGrid w:val="0"/>
          <w:color w:val="auto"/>
          <w:sz w:val="30"/>
          <w:szCs w:val="30"/>
        </w:rPr>
      </w:pPr>
      <w:bookmarkStart w:id="7" w:name="_Toc21701"/>
      <w:r>
        <w:rPr>
          <w:rFonts w:ascii="Times New Roman" w:hAnsi="Times New Roman" w:eastAsia="黑体"/>
          <w:snapToGrid w:val="0"/>
          <w:color w:val="auto"/>
          <w:sz w:val="30"/>
          <w:szCs w:val="30"/>
        </w:rPr>
        <w:t>二、建设项目工程分析</w:t>
      </w:r>
      <w:bookmarkEnd w:id="7"/>
    </w:p>
    <w:tbl>
      <w:tblPr>
        <w:tblStyle w:val="30"/>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rPr>
          <w:trHeight w:val="1256" w:hRule="atLeast"/>
          <w:jc w:val="center"/>
        </w:trPr>
        <w:tc>
          <w:tcPr>
            <w:tcW w:w="454" w:type="dxa"/>
            <w:noWrap w:val="0"/>
            <w:vAlign w:val="center"/>
          </w:tcPr>
          <w:p>
            <w:pPr>
              <w:pStyle w:val="27"/>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606" w:type="dxa"/>
            <w:noWrap w:val="0"/>
            <w:vAlign w:val="top"/>
          </w:tcPr>
          <w:p>
            <w:pPr>
              <w:spacing w:line="360" w:lineRule="auto"/>
              <w:rPr>
                <w:b/>
                <w:bCs/>
                <w:color w:val="auto"/>
                <w:sz w:val="24"/>
              </w:rPr>
            </w:pPr>
            <w:bookmarkStart w:id="8" w:name="_Toc20045"/>
            <w:r>
              <w:rPr>
                <w:rFonts w:hint="eastAsia"/>
                <w:b/>
                <w:bCs/>
                <w:color w:val="auto"/>
                <w:sz w:val="24"/>
                <w:lang w:val="en-US" w:eastAsia="zh-CN"/>
              </w:rPr>
              <w:t>1</w:t>
            </w:r>
            <w:r>
              <w:rPr>
                <w:b/>
                <w:bCs/>
                <w:color w:val="auto"/>
                <w:sz w:val="24"/>
              </w:rPr>
              <w:t>、工程组成</w:t>
            </w:r>
            <w:bookmarkEnd w:id="8"/>
            <w:r>
              <w:rPr>
                <w:b/>
                <w:bCs/>
                <w:color w:val="auto"/>
                <w:sz w:val="24"/>
              </w:rPr>
              <w:t>及建设规模</w:t>
            </w:r>
          </w:p>
          <w:p>
            <w:pPr>
              <w:spacing w:line="360" w:lineRule="auto"/>
              <w:ind w:firstLine="480"/>
              <w:rPr>
                <w:rFonts w:hint="default" w:eastAsia="宋体"/>
                <w:color w:val="auto"/>
                <w:sz w:val="24"/>
                <w:lang w:val="en-US" w:eastAsia="zh-CN"/>
              </w:rPr>
            </w:pPr>
            <w:r>
              <w:rPr>
                <w:color w:val="auto"/>
                <w:sz w:val="24"/>
              </w:rPr>
              <w:t>项目位于</w:t>
            </w:r>
            <w:r>
              <w:rPr>
                <w:rFonts w:hint="eastAsia" w:cs="Times New Roman"/>
                <w:color w:val="auto"/>
                <w:sz w:val="24"/>
                <w:lang w:eastAsia="zh-CN"/>
              </w:rPr>
              <w:t>黑龙江省伊春市嘉荫县常胜乡常家村常胜乡人民政府</w:t>
            </w:r>
            <w:r>
              <w:rPr>
                <w:color w:val="auto"/>
                <w:sz w:val="24"/>
              </w:rPr>
              <w:t>，</w:t>
            </w:r>
            <w:r>
              <w:rPr>
                <w:rFonts w:hint="eastAsia"/>
                <w:color w:val="auto"/>
                <w:sz w:val="24"/>
                <w:lang w:val="en-US" w:eastAsia="zh-CN"/>
              </w:rPr>
              <w:t>本项目利用现有房屋，拆除原有锅炉新建一台2.1MW热水锅炉，用于</w:t>
            </w:r>
            <w:r>
              <w:rPr>
                <w:rFonts w:hint="eastAsia" w:cs="Times New Roman"/>
                <w:color w:val="auto"/>
                <w:sz w:val="24"/>
                <w:lang w:eastAsia="zh-CN"/>
              </w:rPr>
              <w:t>常胜乡人民政府</w:t>
            </w:r>
            <w:r>
              <w:rPr>
                <w:rFonts w:hint="eastAsia"/>
                <w:color w:val="auto"/>
                <w:sz w:val="24"/>
                <w:lang w:val="en-US" w:eastAsia="zh-CN"/>
              </w:rPr>
              <w:t>供热，供热面积2600m</w:t>
            </w:r>
            <w:r>
              <w:rPr>
                <w:rFonts w:hint="eastAsia"/>
                <w:color w:val="auto"/>
                <w:sz w:val="24"/>
                <w:vertAlign w:val="superscript"/>
                <w:lang w:val="en-US" w:eastAsia="zh-CN"/>
              </w:rPr>
              <w:t>2</w:t>
            </w:r>
            <w:r>
              <w:rPr>
                <w:rFonts w:hint="eastAsia"/>
                <w:color w:val="auto"/>
                <w:sz w:val="24"/>
                <w:lang w:val="en-US" w:eastAsia="zh-CN"/>
              </w:rPr>
              <w:t>，</w:t>
            </w:r>
            <w:r>
              <w:rPr>
                <w:color w:val="auto"/>
                <w:sz w:val="24"/>
              </w:rPr>
              <w:t>项目组成表见下表。</w:t>
            </w:r>
          </w:p>
          <w:p>
            <w:pPr>
              <w:pStyle w:val="95"/>
              <w:numPr>
                <w:ilvl w:val="0"/>
                <w:numId w:val="0"/>
              </w:numPr>
              <w:adjustRightInd/>
              <w:snapToGrid/>
              <w:spacing w:line="240" w:lineRule="auto"/>
              <w:ind w:leftChars="0"/>
              <w:jc w:val="center"/>
              <w:rPr>
                <w:b/>
                <w:color w:val="auto"/>
                <w:szCs w:val="24"/>
              </w:rPr>
            </w:pPr>
            <w:r>
              <w:rPr>
                <w:rFonts w:hint="eastAsia"/>
                <w:b/>
                <w:color w:val="auto"/>
                <w:szCs w:val="24"/>
                <w:lang w:val="en-US" w:eastAsia="zh-CN"/>
              </w:rPr>
              <w:t>表2-1</w:t>
            </w:r>
            <w:r>
              <w:rPr>
                <w:b/>
                <w:color w:val="auto"/>
                <w:szCs w:val="24"/>
              </w:rPr>
              <w:t xml:space="preserve">    建设项目组成及建设内容表</w:t>
            </w:r>
          </w:p>
          <w:tbl>
            <w:tblPr>
              <w:tblStyle w:val="30"/>
              <w:tblW w:w="83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9"/>
              <w:gridCol w:w="658"/>
              <w:gridCol w:w="6461"/>
              <w:gridCol w:w="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tblHeader/>
                <w:jc w:val="center"/>
              </w:trPr>
              <w:tc>
                <w:tcPr>
                  <w:tcW w:w="1107" w:type="dxa"/>
                  <w:gridSpan w:val="2"/>
                  <w:noWrap w:val="0"/>
                  <w:vAlign w:val="center"/>
                </w:tcPr>
                <w:p>
                  <w:pPr>
                    <w:pStyle w:val="63"/>
                    <w:spacing w:before="24" w:after="24" w:line="240" w:lineRule="auto"/>
                    <w:rPr>
                      <w:rFonts w:ascii="Times New Roman"/>
                      <w:color w:val="auto"/>
                      <w:szCs w:val="21"/>
                    </w:rPr>
                  </w:pPr>
                  <w:r>
                    <w:rPr>
                      <w:rFonts w:ascii="Times New Roman"/>
                      <w:color w:val="auto"/>
                      <w:szCs w:val="21"/>
                    </w:rPr>
                    <w:t>工程名称</w:t>
                  </w:r>
                </w:p>
              </w:tc>
              <w:tc>
                <w:tcPr>
                  <w:tcW w:w="6461" w:type="dxa"/>
                  <w:noWrap w:val="0"/>
                  <w:vAlign w:val="center"/>
                </w:tcPr>
                <w:p>
                  <w:pPr>
                    <w:pStyle w:val="63"/>
                    <w:spacing w:before="24" w:after="24" w:line="240" w:lineRule="auto"/>
                    <w:rPr>
                      <w:rFonts w:ascii="Times New Roman"/>
                      <w:color w:val="auto"/>
                      <w:szCs w:val="21"/>
                    </w:rPr>
                  </w:pPr>
                  <w:r>
                    <w:rPr>
                      <w:rFonts w:ascii="Times New Roman"/>
                      <w:color w:val="auto"/>
                      <w:szCs w:val="21"/>
                    </w:rPr>
                    <w:t>主要工程内容</w:t>
                  </w:r>
                </w:p>
              </w:tc>
              <w:tc>
                <w:tcPr>
                  <w:tcW w:w="819" w:type="dxa"/>
                  <w:noWrap w:val="0"/>
                  <w:vAlign w:val="center"/>
                </w:tcPr>
                <w:p>
                  <w:pPr>
                    <w:pStyle w:val="63"/>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noWrap w:val="0"/>
                  <w:vAlign w:val="center"/>
                </w:tcPr>
                <w:p>
                  <w:pPr>
                    <w:pStyle w:val="63"/>
                    <w:spacing w:before="24" w:after="24" w:line="240" w:lineRule="auto"/>
                    <w:rPr>
                      <w:rFonts w:ascii="Times New Roman"/>
                      <w:color w:val="auto"/>
                      <w:szCs w:val="21"/>
                    </w:rPr>
                  </w:pPr>
                  <w:r>
                    <w:rPr>
                      <w:rFonts w:ascii="Times New Roman"/>
                      <w:color w:val="auto"/>
                      <w:szCs w:val="21"/>
                    </w:rPr>
                    <w:t>主体工程</w:t>
                  </w:r>
                </w:p>
              </w:tc>
              <w:tc>
                <w:tcPr>
                  <w:tcW w:w="658" w:type="dxa"/>
                  <w:shd w:val="clear" w:color="auto" w:fill="auto"/>
                  <w:noWrap w:val="0"/>
                  <w:vAlign w:val="center"/>
                </w:tcPr>
                <w:p>
                  <w:pPr>
                    <w:pStyle w:val="63"/>
                    <w:spacing w:before="24" w:after="24" w:line="240" w:lineRule="auto"/>
                    <w:rPr>
                      <w:rFonts w:hint="eastAsia" w:ascii="Times New Roman" w:hAnsi="Times New Roman" w:eastAsia="宋体" w:cs="Times New Roman"/>
                      <w:color w:val="auto"/>
                      <w:kern w:val="0"/>
                      <w:sz w:val="21"/>
                      <w:szCs w:val="21"/>
                      <w:lang w:val="en-US" w:eastAsia="zh-CN" w:bidi="ar-SA"/>
                    </w:rPr>
                  </w:pPr>
                  <w:r>
                    <w:rPr>
                      <w:rFonts w:hint="eastAsia" w:ascii="Times New Roman"/>
                      <w:color w:val="auto"/>
                      <w:szCs w:val="21"/>
                    </w:rPr>
                    <w:t>锅炉房</w:t>
                  </w:r>
                </w:p>
              </w:tc>
              <w:tc>
                <w:tcPr>
                  <w:tcW w:w="6461" w:type="dxa"/>
                  <w:shd w:val="clear" w:color="auto" w:fill="auto"/>
                  <w:noWrap w:val="0"/>
                  <w:vAlign w:val="center"/>
                </w:tcPr>
                <w:p>
                  <w:pPr>
                    <w:pStyle w:val="63"/>
                    <w:spacing w:before="24" w:after="24"/>
                    <w:jc w:val="both"/>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rPr>
                    <w:t>建筑面积约</w:t>
                  </w:r>
                  <w:r>
                    <w:rPr>
                      <w:rFonts w:hint="eastAsia" w:ascii="Times New Roman"/>
                      <w:color w:val="auto"/>
                      <w:szCs w:val="21"/>
                      <w:lang w:val="en-US" w:eastAsia="zh-CN"/>
                    </w:rPr>
                    <w:t>146.2</w:t>
                  </w:r>
                  <w:r>
                    <w:rPr>
                      <w:rFonts w:hint="eastAsia" w:ascii="Times New Roman"/>
                      <w:color w:val="auto"/>
                      <w:szCs w:val="21"/>
                    </w:rPr>
                    <w:t>m</w:t>
                  </w:r>
                  <w:r>
                    <w:rPr>
                      <w:rFonts w:hint="eastAsia" w:ascii="Times New Roman"/>
                      <w:color w:val="auto"/>
                      <w:szCs w:val="21"/>
                      <w:vertAlign w:val="superscript"/>
                    </w:rPr>
                    <w:t>2</w:t>
                  </w:r>
                  <w:r>
                    <w:rPr>
                      <w:rFonts w:hint="eastAsia" w:ascii="Times New Roman"/>
                      <w:color w:val="auto"/>
                      <w:szCs w:val="21"/>
                    </w:rPr>
                    <w:t>，新建</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台</w:t>
                  </w:r>
                  <w:r>
                    <w:rPr>
                      <w:rFonts w:hint="default" w:ascii="Times New Roman" w:hAnsi="Times New Roman" w:cs="Times New Roman"/>
                      <w:color w:val="auto"/>
                      <w:szCs w:val="21"/>
                      <w:lang w:val="en-US" w:eastAsia="zh-CN"/>
                    </w:rPr>
                    <w:t>2.1MW燃生物质</w:t>
                  </w:r>
                  <w:r>
                    <w:rPr>
                      <w:rFonts w:hint="default" w:ascii="Times New Roman" w:hAnsi="Times New Roman" w:cs="Times New Roman"/>
                      <w:color w:val="auto"/>
                      <w:szCs w:val="21"/>
                    </w:rPr>
                    <w:t>热水锅炉</w:t>
                  </w:r>
                  <w:r>
                    <w:rPr>
                      <w:rFonts w:hint="eastAsia" w:ascii="Times New Roman"/>
                      <w:color w:val="auto"/>
                      <w:szCs w:val="21"/>
                    </w:rPr>
                    <w:t>及配套设施为</w:t>
                  </w:r>
                  <w:r>
                    <w:rPr>
                      <w:rFonts w:hint="eastAsia" w:ascii="Times New Roman"/>
                      <w:color w:val="auto"/>
                      <w:szCs w:val="21"/>
                      <w:lang w:eastAsia="zh-CN"/>
                    </w:rPr>
                    <w:t>嘉荫县常胜乡人民政府</w:t>
                  </w:r>
                  <w:r>
                    <w:rPr>
                      <w:rFonts w:hint="eastAsia" w:ascii="Times New Roman"/>
                      <w:color w:val="auto"/>
                      <w:szCs w:val="21"/>
                      <w:lang w:val="en-US" w:eastAsia="zh-CN"/>
                    </w:rPr>
                    <w:t>供热</w:t>
                  </w:r>
                  <w:r>
                    <w:rPr>
                      <w:rFonts w:hint="eastAsia" w:ascii="Times New Roman"/>
                      <w:color w:val="auto"/>
                      <w:szCs w:val="21"/>
                    </w:rPr>
                    <w:t>。</w:t>
                  </w:r>
                </w:p>
              </w:tc>
              <w:tc>
                <w:tcPr>
                  <w:tcW w:w="819" w:type="dxa"/>
                  <w:shd w:val="clear" w:color="auto" w:fill="auto"/>
                  <w:noWrap w:val="0"/>
                  <w:vAlign w:val="center"/>
                </w:tcPr>
                <w:p>
                  <w:pPr>
                    <w:pStyle w:val="63"/>
                    <w:spacing w:before="24" w:after="24"/>
                    <w:jc w:val="both"/>
                    <w:rPr>
                      <w:rFonts w:hint="default" w:ascii="Times New Roman" w:eastAsia="宋体"/>
                      <w:color w:val="auto"/>
                      <w:szCs w:val="21"/>
                      <w:lang w:val="en-US" w:eastAsia="zh-CN"/>
                    </w:rPr>
                  </w:pPr>
                  <w:r>
                    <w:rPr>
                      <w:rFonts w:hint="eastAsia" w:ascii="Times New Roman"/>
                      <w:color w:val="auto"/>
                      <w:szCs w:val="21"/>
                      <w:lang w:val="en-US" w:eastAsia="zh-CN"/>
                    </w:rPr>
                    <w:t>锅炉房利旧，锅炉为新建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noWrap w:val="0"/>
                  <w:vAlign w:val="center"/>
                </w:tcPr>
                <w:p>
                  <w:pPr>
                    <w:pStyle w:val="63"/>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辅助工程</w:t>
                  </w:r>
                </w:p>
              </w:tc>
              <w:tc>
                <w:tcPr>
                  <w:tcW w:w="658" w:type="dxa"/>
                  <w:shd w:val="clear" w:color="auto" w:fill="auto"/>
                  <w:noWrap w:val="0"/>
                  <w:vAlign w:val="center"/>
                </w:tcPr>
                <w:p>
                  <w:pPr>
                    <w:pStyle w:val="63"/>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软化水处理装置</w:t>
                  </w:r>
                </w:p>
              </w:tc>
              <w:tc>
                <w:tcPr>
                  <w:tcW w:w="6461" w:type="dxa"/>
                  <w:shd w:val="clear" w:color="auto" w:fill="auto"/>
                  <w:noWrap w:val="0"/>
                  <w:vAlign w:val="center"/>
                </w:tcPr>
                <w:p>
                  <w:pPr>
                    <w:pStyle w:val="63"/>
                    <w:spacing w:before="24" w:after="24"/>
                    <w:jc w:val="both"/>
                    <w:rPr>
                      <w:rFonts w:hint="default" w:ascii="Times New Roman" w:eastAsia="宋体"/>
                      <w:color w:val="auto"/>
                      <w:szCs w:val="21"/>
                      <w:lang w:val="en-US" w:eastAsia="zh-CN"/>
                    </w:rPr>
                  </w:pPr>
                  <w:r>
                    <w:rPr>
                      <w:rFonts w:hint="eastAsia" w:ascii="Times New Roman"/>
                      <w:color w:val="auto"/>
                      <w:szCs w:val="21"/>
                      <w:lang w:val="en-US" w:eastAsia="zh-CN"/>
                    </w:rPr>
                    <w:t>本项目锅炉配套4t/h软化水处理装置，用于锅炉补水</w:t>
                  </w:r>
                </w:p>
              </w:tc>
              <w:tc>
                <w:tcPr>
                  <w:tcW w:w="819" w:type="dxa"/>
                  <w:shd w:val="clear" w:color="auto" w:fill="auto"/>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restart"/>
                  <w:noWrap w:val="0"/>
                  <w:vAlign w:val="center"/>
                </w:tcPr>
                <w:p>
                  <w:pPr>
                    <w:pStyle w:val="63"/>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储运工程</w:t>
                  </w:r>
                </w:p>
              </w:tc>
              <w:tc>
                <w:tcPr>
                  <w:tcW w:w="658" w:type="dxa"/>
                  <w:noWrap w:val="0"/>
                  <w:vAlign w:val="center"/>
                </w:tcPr>
                <w:p>
                  <w:pPr>
                    <w:pStyle w:val="63"/>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灰渣仓</w:t>
                  </w:r>
                </w:p>
              </w:tc>
              <w:tc>
                <w:tcPr>
                  <w:tcW w:w="6461" w:type="dxa"/>
                  <w:noWrap w:val="0"/>
                  <w:vAlign w:val="center"/>
                </w:tcPr>
                <w:p>
                  <w:pPr>
                    <w:pStyle w:val="63"/>
                    <w:spacing w:before="24" w:after="24"/>
                    <w:jc w:val="both"/>
                    <w:rPr>
                      <w:rFonts w:hint="default" w:ascii="Times New Roman" w:eastAsia="宋体"/>
                      <w:color w:val="auto"/>
                      <w:szCs w:val="21"/>
                      <w:lang w:val="en-US" w:eastAsia="zh-CN"/>
                    </w:rPr>
                  </w:pPr>
                  <w:r>
                    <w:rPr>
                      <w:rFonts w:hint="eastAsia" w:ascii="Times New Roman"/>
                      <w:color w:val="auto"/>
                      <w:szCs w:val="21"/>
                      <w:lang w:val="en-US" w:eastAsia="zh-CN"/>
                    </w:rPr>
                    <w:t>本项目灰渣仓位于锅炉房内，面积约5</w:t>
                  </w:r>
                  <w:r>
                    <w:rPr>
                      <w:rFonts w:hint="eastAsia" w:ascii="Times New Roman"/>
                      <w:color w:val="auto"/>
                      <w:szCs w:val="21"/>
                    </w:rPr>
                    <w:t>m</w:t>
                  </w:r>
                  <w:r>
                    <w:rPr>
                      <w:rFonts w:hint="eastAsia" w:ascii="Times New Roman"/>
                      <w:color w:val="auto"/>
                      <w:szCs w:val="21"/>
                      <w:vertAlign w:val="superscript"/>
                    </w:rPr>
                    <w:t>2</w:t>
                  </w:r>
                  <w:r>
                    <w:rPr>
                      <w:rFonts w:hint="eastAsia" w:ascii="Times New Roman"/>
                      <w:color w:val="auto"/>
                      <w:szCs w:val="21"/>
                    </w:rPr>
                    <w:t>，</w:t>
                  </w:r>
                  <w:r>
                    <w:rPr>
                      <w:rFonts w:hint="eastAsia" w:ascii="Times New Roman"/>
                      <w:color w:val="auto"/>
                      <w:szCs w:val="21"/>
                      <w:lang w:val="en-US" w:eastAsia="zh-CN"/>
                    </w:rPr>
                    <w:t>用于储存灰渣</w:t>
                  </w:r>
                </w:p>
              </w:tc>
              <w:tc>
                <w:tcPr>
                  <w:tcW w:w="819" w:type="dxa"/>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hint="eastAsia" w:ascii="Times New Roman"/>
                      <w:color w:val="auto"/>
                      <w:szCs w:val="21"/>
                      <w:lang w:val="en-US" w:eastAsia="zh-CN"/>
                    </w:rPr>
                  </w:pPr>
                </w:p>
              </w:tc>
              <w:tc>
                <w:tcPr>
                  <w:tcW w:w="658" w:type="dxa"/>
                  <w:noWrap w:val="0"/>
                  <w:vAlign w:val="center"/>
                </w:tcPr>
                <w:p>
                  <w:pPr>
                    <w:pStyle w:val="63"/>
                    <w:spacing w:before="24" w:after="24" w:line="240" w:lineRule="auto"/>
                    <w:rPr>
                      <w:rFonts w:hint="default" w:ascii="Times New Roman"/>
                      <w:color w:val="auto"/>
                      <w:szCs w:val="21"/>
                      <w:lang w:val="en-US" w:eastAsia="zh-CN"/>
                    </w:rPr>
                  </w:pPr>
                  <w:r>
                    <w:rPr>
                      <w:rFonts w:hint="eastAsia" w:ascii="Times New Roman"/>
                      <w:color w:val="auto"/>
                      <w:szCs w:val="21"/>
                      <w:lang w:val="en-US" w:eastAsia="zh-CN"/>
                    </w:rPr>
                    <w:t>燃料库</w:t>
                  </w:r>
                </w:p>
              </w:tc>
              <w:tc>
                <w:tcPr>
                  <w:tcW w:w="6461" w:type="dxa"/>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燃料库位于锅炉房西侧建筑面积45</w:t>
                  </w:r>
                  <w:r>
                    <w:rPr>
                      <w:rFonts w:hint="eastAsia" w:ascii="Times New Roman"/>
                      <w:color w:val="auto"/>
                      <w:szCs w:val="21"/>
                    </w:rPr>
                    <w:t>m</w:t>
                  </w:r>
                  <w:r>
                    <w:rPr>
                      <w:rFonts w:hint="eastAsia" w:ascii="Times New Roman"/>
                      <w:color w:val="auto"/>
                      <w:szCs w:val="21"/>
                      <w:vertAlign w:val="superscript"/>
                    </w:rPr>
                    <w:t>2</w:t>
                  </w:r>
                  <w:r>
                    <w:rPr>
                      <w:rFonts w:hint="eastAsia" w:ascii="Times New Roman"/>
                      <w:color w:val="auto"/>
                      <w:szCs w:val="21"/>
                    </w:rPr>
                    <w:t>，</w:t>
                  </w:r>
                  <w:r>
                    <w:rPr>
                      <w:rFonts w:hint="eastAsia" w:ascii="Times New Roman"/>
                      <w:color w:val="auto"/>
                      <w:szCs w:val="21"/>
                      <w:lang w:val="en-US" w:eastAsia="zh-CN"/>
                    </w:rPr>
                    <w:t>用于燃料储存</w:t>
                  </w:r>
                </w:p>
              </w:tc>
              <w:tc>
                <w:tcPr>
                  <w:tcW w:w="819" w:type="dxa"/>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restart"/>
                  <w:noWrap w:val="0"/>
                  <w:vAlign w:val="center"/>
                </w:tcPr>
                <w:p>
                  <w:pPr>
                    <w:pStyle w:val="63"/>
                    <w:spacing w:before="24" w:after="24" w:line="240" w:lineRule="auto"/>
                    <w:rPr>
                      <w:rFonts w:ascii="Times New Roman"/>
                      <w:color w:val="auto"/>
                      <w:szCs w:val="21"/>
                    </w:rPr>
                  </w:pPr>
                  <w:r>
                    <w:rPr>
                      <w:rFonts w:ascii="Times New Roman"/>
                      <w:color w:val="auto"/>
                      <w:szCs w:val="21"/>
                    </w:rPr>
                    <w:t>公用工程</w:t>
                  </w: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供水</w:t>
                  </w:r>
                </w:p>
              </w:tc>
              <w:tc>
                <w:tcPr>
                  <w:tcW w:w="6461" w:type="dxa"/>
                  <w:noWrap w:val="0"/>
                  <w:vAlign w:val="center"/>
                </w:tcPr>
                <w:p>
                  <w:pPr>
                    <w:pStyle w:val="63"/>
                    <w:spacing w:before="24" w:after="24" w:line="240" w:lineRule="auto"/>
                    <w:jc w:val="both"/>
                    <w:rPr>
                      <w:rFonts w:ascii="Times New Roman"/>
                      <w:color w:val="auto"/>
                      <w:szCs w:val="21"/>
                    </w:rPr>
                  </w:pPr>
                  <w:r>
                    <w:rPr>
                      <w:rFonts w:ascii="Times New Roman"/>
                      <w:color w:val="auto"/>
                      <w:szCs w:val="21"/>
                    </w:rPr>
                    <w:t>市政供水管网引入</w:t>
                  </w:r>
                </w:p>
              </w:tc>
              <w:tc>
                <w:tcPr>
                  <w:tcW w:w="819" w:type="dxa"/>
                  <w:noWrap w:val="0"/>
                  <w:vAlign w:val="center"/>
                </w:tcPr>
                <w:p>
                  <w:pPr>
                    <w:pStyle w:val="63"/>
                    <w:spacing w:before="24" w:after="24" w:line="240" w:lineRule="auto"/>
                    <w:jc w:val="both"/>
                    <w:rPr>
                      <w:rFonts w:hint="eastAsia" w:ascii="Times New Roman" w:eastAsia="宋体"/>
                      <w:color w:val="auto"/>
                      <w:szCs w:val="21"/>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排水</w:t>
                  </w:r>
                </w:p>
              </w:tc>
              <w:tc>
                <w:tcPr>
                  <w:tcW w:w="6461" w:type="dxa"/>
                  <w:noWrap w:val="0"/>
                  <w:vAlign w:val="center"/>
                </w:tcPr>
                <w:p>
                  <w:pPr>
                    <w:pStyle w:val="63"/>
                    <w:spacing w:before="24" w:after="24" w:line="240" w:lineRule="auto"/>
                    <w:jc w:val="both"/>
                    <w:rPr>
                      <w:rFonts w:hint="default" w:ascii="Times New Roman"/>
                      <w:color w:val="auto"/>
                      <w:szCs w:val="21"/>
                      <w:lang w:val="en-US"/>
                    </w:rPr>
                  </w:pPr>
                  <w:r>
                    <w:rPr>
                      <w:rFonts w:hint="eastAsia" w:ascii="Times New Roman" w:cs="Times New Roman"/>
                      <w:b w:val="0"/>
                      <w:bCs w:val="0"/>
                      <w:color w:val="auto"/>
                      <w:highlight w:val="none"/>
                      <w:vertAlign w:val="baseline"/>
                      <w:lang w:val="en-US" w:eastAsia="zh-CN"/>
                    </w:rPr>
                    <w:t>设置一座沉淀池，容积100m</w:t>
                  </w:r>
                  <w:r>
                    <w:rPr>
                      <w:rFonts w:hint="eastAsia" w:ascii="Times New Roman" w:cs="Times New Roman"/>
                      <w:b w:val="0"/>
                      <w:bCs w:val="0"/>
                      <w:color w:val="auto"/>
                      <w:highlight w:val="none"/>
                      <w:vertAlign w:val="superscript"/>
                      <w:lang w:val="en-US" w:eastAsia="zh-CN"/>
                    </w:rPr>
                    <w:t>3</w:t>
                  </w:r>
                  <w:r>
                    <w:rPr>
                      <w:rFonts w:hint="eastAsia" w:ascii="Times New Roman" w:cs="Times New Roman"/>
                      <w:b w:val="0"/>
                      <w:bCs w:val="0"/>
                      <w:color w:val="auto"/>
                      <w:highlight w:val="none"/>
                      <w:vertAlign w:val="baseline"/>
                      <w:lang w:val="en-US" w:eastAsia="zh-CN"/>
                    </w:rPr>
                    <w:t>，</w:t>
                  </w:r>
                  <w:r>
                    <w:rPr>
                      <w:rFonts w:hint="eastAsia" w:ascii="Times New Roman" w:hAnsi="Times New Roman" w:cs="Times New Roman"/>
                      <w:b w:val="0"/>
                      <w:bCs w:val="0"/>
                      <w:color w:val="auto"/>
                      <w:highlight w:val="none"/>
                      <w:vertAlign w:val="baseline"/>
                      <w:lang w:val="en-US" w:eastAsia="zh-CN"/>
                    </w:rPr>
                    <w:t>锅炉废水</w:t>
                  </w:r>
                  <w:r>
                    <w:rPr>
                      <w:rFonts w:hint="eastAsia" w:ascii="Times New Roman" w:cs="Times New Roman"/>
                      <w:b w:val="0"/>
                      <w:bCs w:val="0"/>
                      <w:color w:val="auto"/>
                      <w:highlight w:val="none"/>
                      <w:vertAlign w:val="baseline"/>
                      <w:lang w:val="en-US" w:eastAsia="zh-CN"/>
                    </w:rPr>
                    <w:t>和软化水处理废水排入沉淀池内，定期加入絮凝剂（PAC）一部分用于灰渣降尘，一部分用于厂区降尘；依托原有防渗化粪池，</w:t>
                  </w:r>
                  <w:r>
                    <w:rPr>
                      <w:rFonts w:hint="eastAsia" w:ascii="Times New Roman" w:hAnsi="Times New Roman" w:cs="Times New Roman"/>
                      <w:b w:val="0"/>
                      <w:bCs w:val="0"/>
                      <w:color w:val="auto"/>
                      <w:highlight w:val="none"/>
                      <w:vertAlign w:val="baseline"/>
                      <w:lang w:val="en-US" w:eastAsia="zh-CN"/>
                    </w:rPr>
                    <w:t>生活污水经化粪池处理后</w:t>
                  </w:r>
                  <w:r>
                    <w:rPr>
                      <w:rFonts w:hint="eastAsia" w:ascii="Times New Roman" w:cs="Times New Roman"/>
                      <w:b w:val="0"/>
                      <w:bCs w:val="0"/>
                      <w:color w:val="auto"/>
                      <w:highlight w:val="none"/>
                      <w:vertAlign w:val="baseline"/>
                      <w:lang w:val="en-US" w:eastAsia="zh-CN"/>
                    </w:rPr>
                    <w:t>定期清掏，外运堆肥</w:t>
                  </w:r>
                </w:p>
              </w:tc>
              <w:tc>
                <w:tcPr>
                  <w:tcW w:w="819" w:type="dxa"/>
                  <w:noWrap w:val="0"/>
                  <w:vAlign w:val="center"/>
                </w:tcPr>
                <w:p>
                  <w:pPr>
                    <w:pStyle w:val="63"/>
                    <w:spacing w:before="24" w:after="24" w:line="240" w:lineRule="auto"/>
                    <w:jc w:val="both"/>
                    <w:rPr>
                      <w:rFonts w:hint="default" w:ascii="Times New Roman" w:hAnsi="Times New Roman" w:cs="Times New Roman"/>
                      <w:b w:val="0"/>
                      <w:bCs w:val="0"/>
                      <w:color w:val="auto"/>
                      <w:highlight w:val="none"/>
                      <w:vertAlign w:val="baseline"/>
                      <w:lang w:val="en-US" w:eastAsia="zh-CN"/>
                    </w:rPr>
                  </w:pPr>
                  <w:r>
                    <w:rPr>
                      <w:rFonts w:hint="eastAsia" w:ascii="Times New Roman"/>
                      <w:color w:val="auto"/>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供电</w:t>
                  </w:r>
                </w:p>
              </w:tc>
              <w:tc>
                <w:tcPr>
                  <w:tcW w:w="6461" w:type="dxa"/>
                  <w:noWrap w:val="0"/>
                  <w:vAlign w:val="center"/>
                </w:tcPr>
                <w:p>
                  <w:pPr>
                    <w:pStyle w:val="63"/>
                    <w:spacing w:before="24" w:after="24" w:line="240" w:lineRule="auto"/>
                    <w:jc w:val="both"/>
                    <w:rPr>
                      <w:rFonts w:ascii="Times New Roman"/>
                      <w:color w:val="auto"/>
                      <w:szCs w:val="21"/>
                      <w:highlight w:val="yellow"/>
                    </w:rPr>
                  </w:pPr>
                  <w:r>
                    <w:rPr>
                      <w:rFonts w:ascii="Times New Roman"/>
                      <w:color w:val="auto"/>
                      <w:szCs w:val="21"/>
                    </w:rPr>
                    <w:t>电网统一供应</w:t>
                  </w:r>
                </w:p>
              </w:tc>
              <w:tc>
                <w:tcPr>
                  <w:tcW w:w="819" w:type="dxa"/>
                  <w:noWrap w:val="0"/>
                  <w:vAlign w:val="center"/>
                </w:tcPr>
                <w:p>
                  <w:pPr>
                    <w:pStyle w:val="63"/>
                    <w:spacing w:before="24" w:after="24" w:line="240" w:lineRule="auto"/>
                    <w:jc w:val="both"/>
                    <w:rPr>
                      <w:rFonts w:hint="eastAsia" w:ascii="Times New Roman" w:eastAsia="宋体"/>
                      <w:color w:val="auto"/>
                      <w:szCs w:val="21"/>
                      <w:lang w:val="en-US" w:eastAsia="zh-CN"/>
                    </w:rPr>
                  </w:pPr>
                  <w:r>
                    <w:rPr>
                      <w:rFonts w:hint="eastAsia" w:ascii="Times New Roman"/>
                      <w:color w:val="auto"/>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restart"/>
                  <w:noWrap w:val="0"/>
                  <w:vAlign w:val="center"/>
                </w:tcPr>
                <w:p>
                  <w:pPr>
                    <w:pStyle w:val="63"/>
                    <w:spacing w:before="24" w:after="24" w:line="240" w:lineRule="auto"/>
                    <w:rPr>
                      <w:rFonts w:ascii="Times New Roman"/>
                      <w:color w:val="auto"/>
                      <w:szCs w:val="21"/>
                    </w:rPr>
                  </w:pPr>
                  <w:r>
                    <w:rPr>
                      <w:rFonts w:ascii="Times New Roman"/>
                      <w:color w:val="auto"/>
                      <w:szCs w:val="21"/>
                    </w:rPr>
                    <w:t>环保工程</w:t>
                  </w: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废气处理</w:t>
                  </w:r>
                </w:p>
              </w:tc>
              <w:tc>
                <w:tcPr>
                  <w:tcW w:w="6461" w:type="dxa"/>
                  <w:noWrap w:val="0"/>
                  <w:vAlign w:val="center"/>
                </w:tcPr>
                <w:p>
                  <w:pPr>
                    <w:pStyle w:val="63"/>
                    <w:spacing w:before="24" w:after="24" w:line="240" w:lineRule="auto"/>
                    <w:jc w:val="both"/>
                    <w:rPr>
                      <w:rFonts w:ascii="Times New Roman"/>
                      <w:color w:val="auto"/>
                      <w:szCs w:val="21"/>
                    </w:rPr>
                  </w:pPr>
                  <w:r>
                    <w:rPr>
                      <w:rFonts w:hint="eastAsia" w:ascii="Times New Roman"/>
                      <w:color w:val="auto"/>
                      <w:szCs w:val="21"/>
                    </w:rPr>
                    <w:t>锅炉采用低氮燃烧技术，燃</w:t>
                  </w:r>
                  <w:r>
                    <w:rPr>
                      <w:rFonts w:hint="eastAsia" w:ascii="Times New Roman"/>
                      <w:color w:val="auto"/>
                      <w:szCs w:val="21"/>
                      <w:lang w:val="en-US" w:eastAsia="zh-CN"/>
                    </w:rPr>
                    <w:t>生物质</w:t>
                  </w:r>
                  <w:r>
                    <w:rPr>
                      <w:rFonts w:hint="eastAsia" w:ascii="Times New Roman"/>
                      <w:color w:val="auto"/>
                      <w:szCs w:val="21"/>
                    </w:rPr>
                    <w:t>锅炉产生的烟气经</w:t>
                  </w:r>
                  <w:r>
                    <w:rPr>
                      <w:rFonts w:hint="eastAsia" w:ascii="Times New Roman"/>
                      <w:color w:val="auto"/>
                      <w:szCs w:val="21"/>
                      <w:lang w:val="en-US" w:eastAsia="zh-CN"/>
                    </w:rPr>
                    <w:t>旋风除尘器+布袋除尘器</w:t>
                  </w:r>
                  <w:r>
                    <w:rPr>
                      <w:rFonts w:hint="eastAsia" w:ascii="Times New Roman"/>
                      <w:color w:val="auto"/>
                      <w:szCs w:val="21"/>
                    </w:rPr>
                    <w:t>1根</w:t>
                  </w:r>
                  <w:r>
                    <w:rPr>
                      <w:rFonts w:hint="eastAsia" w:ascii="Times New Roman"/>
                      <w:color w:val="auto"/>
                      <w:szCs w:val="21"/>
                      <w:lang w:val="en-US" w:eastAsia="zh-CN"/>
                    </w:rPr>
                    <w:t>30</w:t>
                  </w:r>
                  <w:r>
                    <w:rPr>
                      <w:rFonts w:hint="eastAsia" w:ascii="Times New Roman"/>
                      <w:color w:val="auto"/>
                      <w:szCs w:val="21"/>
                    </w:rPr>
                    <w:t>m高排气筒（DA001）排放</w:t>
                  </w:r>
                </w:p>
              </w:tc>
              <w:tc>
                <w:tcPr>
                  <w:tcW w:w="819" w:type="dxa"/>
                  <w:noWrap w:val="0"/>
                  <w:vAlign w:val="center"/>
                </w:tcPr>
                <w:p>
                  <w:pPr>
                    <w:pStyle w:val="63"/>
                    <w:spacing w:before="24" w:after="24" w:line="240" w:lineRule="auto"/>
                    <w:jc w:val="both"/>
                    <w:rPr>
                      <w:rFonts w:hint="eastAsia" w:ascii="Times New Roman" w:eastAsia="宋体"/>
                      <w:color w:val="auto"/>
                      <w:szCs w:val="21"/>
                      <w:lang w:val="en-US" w:eastAsia="zh-CN"/>
                    </w:rPr>
                  </w:pPr>
                  <w:r>
                    <w:rPr>
                      <w:rFonts w:hint="eastAsia" w:ascii="Times New Roman"/>
                      <w:color w:val="auto"/>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废水处理</w:t>
                  </w:r>
                </w:p>
              </w:tc>
              <w:tc>
                <w:tcPr>
                  <w:tcW w:w="6461" w:type="dxa"/>
                  <w:noWrap w:val="0"/>
                  <w:vAlign w:val="center"/>
                </w:tcPr>
                <w:p>
                  <w:pPr>
                    <w:pStyle w:val="63"/>
                    <w:spacing w:before="24" w:after="24" w:line="240" w:lineRule="auto"/>
                    <w:jc w:val="both"/>
                    <w:rPr>
                      <w:rFonts w:ascii="Times New Roman"/>
                      <w:color w:val="auto"/>
                      <w:szCs w:val="21"/>
                    </w:rPr>
                  </w:pPr>
                  <w:r>
                    <w:rPr>
                      <w:rFonts w:hint="eastAsia" w:ascii="Times New Roman" w:cs="Times New Roman"/>
                      <w:b w:val="0"/>
                      <w:bCs w:val="0"/>
                      <w:color w:val="auto"/>
                      <w:highlight w:val="none"/>
                      <w:vertAlign w:val="baseline"/>
                      <w:lang w:val="en-US" w:eastAsia="zh-CN"/>
                    </w:rPr>
                    <w:t>设置一座沉淀池，容积100m</w:t>
                  </w:r>
                  <w:r>
                    <w:rPr>
                      <w:rFonts w:hint="eastAsia" w:ascii="Times New Roman" w:cs="Times New Roman"/>
                      <w:b w:val="0"/>
                      <w:bCs w:val="0"/>
                      <w:color w:val="auto"/>
                      <w:highlight w:val="none"/>
                      <w:vertAlign w:val="superscript"/>
                      <w:lang w:val="en-US" w:eastAsia="zh-CN"/>
                    </w:rPr>
                    <w:t>3</w:t>
                  </w:r>
                  <w:r>
                    <w:rPr>
                      <w:rFonts w:hint="eastAsia" w:ascii="Times New Roman" w:cs="Times New Roman"/>
                      <w:b w:val="0"/>
                      <w:bCs w:val="0"/>
                      <w:color w:val="auto"/>
                      <w:highlight w:val="none"/>
                      <w:vertAlign w:val="baseline"/>
                      <w:lang w:val="en-US" w:eastAsia="zh-CN"/>
                    </w:rPr>
                    <w:t>，</w:t>
                  </w:r>
                  <w:r>
                    <w:rPr>
                      <w:rFonts w:hint="eastAsia" w:ascii="Times New Roman" w:hAnsi="Times New Roman" w:cs="Times New Roman"/>
                      <w:b w:val="0"/>
                      <w:bCs w:val="0"/>
                      <w:color w:val="auto"/>
                      <w:highlight w:val="none"/>
                      <w:vertAlign w:val="baseline"/>
                      <w:lang w:val="en-US" w:eastAsia="zh-CN"/>
                    </w:rPr>
                    <w:t>锅炉废水</w:t>
                  </w:r>
                  <w:r>
                    <w:rPr>
                      <w:rFonts w:hint="eastAsia" w:ascii="Times New Roman" w:cs="Times New Roman"/>
                      <w:b w:val="0"/>
                      <w:bCs w:val="0"/>
                      <w:color w:val="auto"/>
                      <w:highlight w:val="none"/>
                      <w:vertAlign w:val="baseline"/>
                      <w:lang w:val="en-US" w:eastAsia="zh-CN"/>
                    </w:rPr>
                    <w:t>和软化水处理废水排入沉淀池内，定期加入絮凝剂（PAC）一部分用于灰渣降尘，一部分用于厂区降尘；依托原有防渗化粪池，</w:t>
                  </w:r>
                  <w:r>
                    <w:rPr>
                      <w:rFonts w:hint="eastAsia" w:ascii="Times New Roman" w:hAnsi="Times New Roman" w:cs="Times New Roman"/>
                      <w:b w:val="0"/>
                      <w:bCs w:val="0"/>
                      <w:color w:val="auto"/>
                      <w:highlight w:val="none"/>
                      <w:vertAlign w:val="baseline"/>
                      <w:lang w:val="en-US" w:eastAsia="zh-CN"/>
                    </w:rPr>
                    <w:t>生活污水经化粪池处理后</w:t>
                  </w:r>
                  <w:r>
                    <w:rPr>
                      <w:rFonts w:hint="eastAsia" w:ascii="Times New Roman" w:cs="Times New Roman"/>
                      <w:b w:val="0"/>
                      <w:bCs w:val="0"/>
                      <w:color w:val="auto"/>
                      <w:highlight w:val="none"/>
                      <w:vertAlign w:val="baseline"/>
                      <w:lang w:val="en-US" w:eastAsia="zh-CN"/>
                    </w:rPr>
                    <w:t>定期清掏，外运堆肥</w:t>
                  </w:r>
                </w:p>
              </w:tc>
              <w:tc>
                <w:tcPr>
                  <w:tcW w:w="819" w:type="dxa"/>
                  <w:noWrap w:val="0"/>
                  <w:vAlign w:val="center"/>
                </w:tcPr>
                <w:p>
                  <w:pPr>
                    <w:pStyle w:val="63"/>
                    <w:spacing w:before="24" w:after="24" w:line="240" w:lineRule="auto"/>
                    <w:jc w:val="both"/>
                    <w:rPr>
                      <w:rFonts w:hint="default" w:ascii="Times New Roman" w:hAnsi="Times New Roman" w:cs="Times New Roman"/>
                      <w:b w:val="0"/>
                      <w:bCs w:val="0"/>
                      <w:color w:val="auto"/>
                      <w:highlight w:val="none"/>
                      <w:vertAlign w:val="baseline"/>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噪声防治</w:t>
                  </w:r>
                </w:p>
              </w:tc>
              <w:tc>
                <w:tcPr>
                  <w:tcW w:w="6461" w:type="dxa"/>
                  <w:noWrap w:val="0"/>
                  <w:vAlign w:val="center"/>
                </w:tcPr>
                <w:p>
                  <w:pPr>
                    <w:rPr>
                      <w:rFonts w:hint="eastAsia"/>
                      <w:color w:val="auto"/>
                    </w:rPr>
                  </w:pPr>
                  <w:r>
                    <w:rPr>
                      <w:rFonts w:hint="eastAsia"/>
                      <w:color w:val="auto"/>
                    </w:rPr>
                    <w:t>采用低噪声设备、隔声、消声以及减振等措</w:t>
                  </w:r>
                  <w:r>
                    <w:rPr>
                      <w:rFonts w:hint="eastAsia"/>
                      <w:color w:val="auto"/>
                      <w:sz w:val="21"/>
                      <w:szCs w:val="21"/>
                    </w:rPr>
                    <w:t>施</w:t>
                  </w:r>
                </w:p>
              </w:tc>
              <w:tc>
                <w:tcPr>
                  <w:tcW w:w="819" w:type="dxa"/>
                  <w:noWrap w:val="0"/>
                  <w:vAlign w:val="center"/>
                </w:tcPr>
                <w:p>
                  <w:pPr>
                    <w:rPr>
                      <w:rFonts w:hint="eastAsia" w:eastAsia="宋体"/>
                      <w:color w:val="auto"/>
                      <w:lang w:val="en-US" w:eastAsia="zh-CN"/>
                    </w:rPr>
                  </w:pPr>
                  <w:r>
                    <w:rPr>
                      <w:rFonts w:hint="eastAsia"/>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固体废物</w:t>
                  </w:r>
                </w:p>
              </w:tc>
              <w:tc>
                <w:tcPr>
                  <w:tcW w:w="6461" w:type="dxa"/>
                  <w:noWrap w:val="0"/>
                  <w:vAlign w:val="center"/>
                </w:tcPr>
                <w:p>
                  <w:pPr>
                    <w:autoSpaceDE w:val="0"/>
                    <w:autoSpaceDN w:val="0"/>
                    <w:adjustRightInd w:val="0"/>
                    <w:jc w:val="left"/>
                    <w:rPr>
                      <w:rFonts w:hint="default" w:eastAsia="宋体"/>
                      <w:color w:val="auto"/>
                      <w:kern w:val="0"/>
                      <w:szCs w:val="21"/>
                      <w:lang w:val="en-US" w:eastAsia="zh-CN"/>
                    </w:rPr>
                  </w:pPr>
                  <w:r>
                    <w:rPr>
                      <w:rFonts w:hint="eastAsia"/>
                      <w:color w:val="auto"/>
                      <w:kern w:val="0"/>
                      <w:szCs w:val="21"/>
                    </w:rPr>
                    <w:t>生活垃圾由环卫部门统一清运。</w:t>
                  </w:r>
                  <w:r>
                    <w:rPr>
                      <w:rFonts w:hint="eastAsia"/>
                      <w:color w:val="auto"/>
                      <w:kern w:val="0"/>
                      <w:szCs w:val="21"/>
                      <w:lang w:val="en-US" w:eastAsia="zh-CN"/>
                    </w:rPr>
                    <w:t>废布袋、废离子交换树脂由厂家回收处置，生物质灰渣和除尘灰外售综合利用。沉淀池污泥定期清掏，送往垃圾填埋场填埋处理。</w:t>
                  </w:r>
                </w:p>
              </w:tc>
              <w:tc>
                <w:tcPr>
                  <w:tcW w:w="819" w:type="dxa"/>
                  <w:noWrap w:val="0"/>
                  <w:vAlign w:val="center"/>
                </w:tcPr>
                <w:p>
                  <w:pPr>
                    <w:autoSpaceDE w:val="0"/>
                    <w:autoSpaceDN w:val="0"/>
                    <w:adjustRightInd w:val="0"/>
                    <w:jc w:val="left"/>
                    <w:rPr>
                      <w:rFonts w:hint="eastAsia" w:eastAsia="宋体"/>
                      <w:color w:val="auto"/>
                      <w:kern w:val="0"/>
                      <w:szCs w:val="21"/>
                      <w:lang w:val="en-US" w:eastAsia="zh-CN"/>
                    </w:rPr>
                  </w:pPr>
                  <w:r>
                    <w:rPr>
                      <w:rFonts w:hint="eastAsia"/>
                      <w:color w:val="auto"/>
                      <w:kern w:val="0"/>
                      <w:szCs w:val="21"/>
                      <w:lang w:val="en-US" w:eastAsia="zh-CN"/>
                    </w:rPr>
                    <w:t>新建</w:t>
                  </w:r>
                </w:p>
              </w:tc>
            </w:tr>
          </w:tbl>
          <w:p>
            <w:pPr>
              <w:spacing w:line="360" w:lineRule="auto"/>
              <w:rPr>
                <w:b/>
                <w:bCs/>
                <w:color w:val="auto"/>
                <w:sz w:val="24"/>
              </w:rPr>
            </w:pPr>
            <w:bookmarkStart w:id="9" w:name="_Toc38800590"/>
            <w:bookmarkStart w:id="10" w:name="_Toc27534"/>
            <w:bookmarkStart w:id="11" w:name="_Toc25175"/>
            <w:r>
              <w:rPr>
                <w:rFonts w:hint="eastAsia"/>
                <w:b/>
                <w:bCs/>
                <w:color w:val="auto"/>
                <w:sz w:val="24"/>
                <w:lang w:val="en-US" w:eastAsia="zh-CN"/>
              </w:rPr>
              <w:t>2</w:t>
            </w:r>
            <w:r>
              <w:rPr>
                <w:b/>
                <w:bCs/>
                <w:color w:val="auto"/>
                <w:sz w:val="24"/>
              </w:rPr>
              <w:t>、主要生产设备</w:t>
            </w:r>
            <w:bookmarkEnd w:id="9"/>
            <w:bookmarkEnd w:id="10"/>
          </w:p>
          <w:p>
            <w:pPr>
              <w:spacing w:line="360" w:lineRule="auto"/>
              <w:ind w:firstLine="480"/>
              <w:rPr>
                <w:color w:val="auto"/>
                <w:sz w:val="24"/>
              </w:rPr>
            </w:pPr>
            <w:r>
              <w:rPr>
                <w:color w:val="auto"/>
                <w:sz w:val="24"/>
              </w:rPr>
              <w:t>本项目主要设备见下表。</w:t>
            </w:r>
          </w:p>
          <w:p>
            <w:pPr>
              <w:pStyle w:val="95"/>
              <w:numPr>
                <w:ilvl w:val="0"/>
                <w:numId w:val="0"/>
              </w:numPr>
              <w:adjustRightInd/>
              <w:snapToGrid/>
              <w:spacing w:line="240" w:lineRule="auto"/>
              <w:ind w:left="0" w:leftChars="0" w:firstLine="0" w:firstLineChars="0"/>
              <w:rPr>
                <w:b/>
                <w:color w:val="auto"/>
                <w:szCs w:val="24"/>
              </w:rPr>
            </w:pPr>
            <w:r>
              <w:rPr>
                <w:rFonts w:hint="eastAsia"/>
                <w:b/>
                <w:bCs/>
                <w:color w:val="auto"/>
                <w:kern w:val="0"/>
                <w:sz w:val="24"/>
                <w:szCs w:val="21"/>
                <w:lang w:val="en-US" w:eastAsia="zh-CN" w:bidi="ar-SA"/>
              </w:rPr>
              <w:t>表2-2</w:t>
            </w:r>
            <w:r>
              <w:rPr>
                <w:b/>
                <w:color w:val="auto"/>
                <w:szCs w:val="24"/>
              </w:rPr>
              <w:t xml:space="preserve">    主要设备一览表</w:t>
            </w:r>
          </w:p>
          <w:tbl>
            <w:tblPr>
              <w:tblStyle w:val="30"/>
              <w:tblW w:w="839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94"/>
              <w:gridCol w:w="3204"/>
              <w:gridCol w:w="707"/>
              <w:gridCol w:w="13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4" w:type="dxa"/>
                  <w:noWrap/>
                  <w:vAlign w:val="center"/>
                </w:tcPr>
                <w:p>
                  <w:pPr>
                    <w:widowControl/>
                    <w:jc w:val="center"/>
                    <w:rPr>
                      <w:color w:val="auto"/>
                      <w:kern w:val="0"/>
                      <w:szCs w:val="21"/>
                    </w:rPr>
                  </w:pPr>
                  <w:bookmarkStart w:id="12" w:name="_Toc38800591"/>
                  <w:r>
                    <w:rPr>
                      <w:color w:val="auto"/>
                      <w:kern w:val="0"/>
                      <w:szCs w:val="21"/>
                    </w:rPr>
                    <w:t>名称</w:t>
                  </w:r>
                </w:p>
              </w:tc>
              <w:tc>
                <w:tcPr>
                  <w:tcW w:w="3204" w:type="dxa"/>
                  <w:noWrap w:val="0"/>
                  <w:vAlign w:val="top"/>
                </w:tcPr>
                <w:p>
                  <w:pPr>
                    <w:widowControl/>
                    <w:jc w:val="center"/>
                    <w:rPr>
                      <w:color w:val="auto"/>
                      <w:kern w:val="0"/>
                      <w:szCs w:val="21"/>
                    </w:rPr>
                  </w:pPr>
                  <w:r>
                    <w:rPr>
                      <w:rFonts w:hint="eastAsia"/>
                      <w:color w:val="auto"/>
                      <w:kern w:val="0"/>
                      <w:szCs w:val="21"/>
                    </w:rPr>
                    <w:t>型号</w:t>
                  </w:r>
                </w:p>
              </w:tc>
              <w:tc>
                <w:tcPr>
                  <w:tcW w:w="707" w:type="dxa"/>
                  <w:noWrap/>
                  <w:vAlign w:val="center"/>
                </w:tcPr>
                <w:p>
                  <w:pPr>
                    <w:widowControl/>
                    <w:jc w:val="center"/>
                    <w:rPr>
                      <w:color w:val="auto"/>
                      <w:kern w:val="0"/>
                      <w:szCs w:val="21"/>
                    </w:rPr>
                  </w:pPr>
                  <w:r>
                    <w:rPr>
                      <w:color w:val="auto"/>
                      <w:kern w:val="0"/>
                      <w:szCs w:val="21"/>
                    </w:rPr>
                    <w:t>数量</w:t>
                  </w:r>
                </w:p>
              </w:tc>
              <w:tc>
                <w:tcPr>
                  <w:tcW w:w="1385" w:type="dxa"/>
                  <w:noWrap w:val="0"/>
                  <w:vAlign w:val="top"/>
                </w:tcPr>
                <w:p>
                  <w:pPr>
                    <w:widowControl/>
                    <w:jc w:val="center"/>
                    <w:rPr>
                      <w:color w:val="auto"/>
                      <w:kern w:val="0"/>
                      <w:szCs w:val="21"/>
                    </w:rPr>
                  </w:pPr>
                  <w:r>
                    <w:rPr>
                      <w:rFonts w:hint="eastAsia"/>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4" w:type="dxa"/>
                  <w:noWrap/>
                  <w:vAlign w:val="center"/>
                </w:tcPr>
                <w:p>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2.1MW燃生物质热水锅炉</w:t>
                  </w:r>
                </w:p>
              </w:tc>
              <w:tc>
                <w:tcPr>
                  <w:tcW w:w="3204" w:type="dxa"/>
                  <w:noWrap w:val="0"/>
                  <w:vAlign w:val="top"/>
                </w:tcPr>
                <w:p>
                  <w:pPr>
                    <w:widowControl/>
                    <w:jc w:val="center"/>
                    <w:rPr>
                      <w:rFonts w:hint="default" w:eastAsia="宋体"/>
                      <w:color w:val="auto"/>
                      <w:kern w:val="0"/>
                      <w:sz w:val="21"/>
                      <w:szCs w:val="21"/>
                      <w:lang w:val="en-US" w:eastAsia="zh-CN"/>
                    </w:rPr>
                  </w:pPr>
                  <w:r>
                    <w:rPr>
                      <w:rFonts w:hint="eastAsia"/>
                      <w:color w:val="auto"/>
                      <w:sz w:val="21"/>
                      <w:szCs w:val="21"/>
                      <w:lang w:val="en-US" w:eastAsia="zh-CN"/>
                    </w:rPr>
                    <w:t>LHG2.1-85/60-S</w:t>
                  </w:r>
                </w:p>
              </w:tc>
              <w:tc>
                <w:tcPr>
                  <w:tcW w:w="707" w:type="dxa"/>
                  <w:noWrap/>
                  <w:vAlign w:val="center"/>
                </w:tcPr>
                <w:p>
                  <w:pPr>
                    <w:widowControl/>
                    <w:jc w:val="center"/>
                    <w:rPr>
                      <w:rFonts w:hint="eastAsia" w:eastAsia="宋体"/>
                      <w:color w:val="auto"/>
                      <w:kern w:val="0"/>
                      <w:szCs w:val="21"/>
                      <w:lang w:eastAsia="zh-CN"/>
                    </w:rPr>
                  </w:pPr>
                  <w:r>
                    <w:rPr>
                      <w:rFonts w:hint="eastAsia"/>
                      <w:color w:val="auto"/>
                      <w:kern w:val="0"/>
                      <w:szCs w:val="21"/>
                      <w:lang w:val="en-US" w:eastAsia="zh-CN"/>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4" w:type="dxa"/>
                  <w:noWrap/>
                  <w:vAlign w:val="center"/>
                </w:tcPr>
                <w:p>
                  <w:pPr>
                    <w:widowControl/>
                    <w:jc w:val="center"/>
                    <w:rPr>
                      <w:rFonts w:hint="eastAsia"/>
                      <w:color w:val="auto"/>
                      <w:kern w:val="0"/>
                      <w:szCs w:val="21"/>
                    </w:rPr>
                  </w:pPr>
                  <w:r>
                    <w:rPr>
                      <w:rFonts w:hint="eastAsia"/>
                      <w:color w:val="auto"/>
                      <w:kern w:val="0"/>
                      <w:szCs w:val="21"/>
                      <w:lang w:val="en-US" w:eastAsia="zh-CN"/>
                    </w:rPr>
                    <w:t>工作</w:t>
                  </w:r>
                  <w:r>
                    <w:rPr>
                      <w:rFonts w:hint="eastAsia"/>
                      <w:color w:val="auto"/>
                      <w:kern w:val="0"/>
                      <w:szCs w:val="21"/>
                    </w:rPr>
                    <w:t>泵</w:t>
                  </w:r>
                </w:p>
              </w:tc>
              <w:tc>
                <w:tcPr>
                  <w:tcW w:w="3204" w:type="dxa"/>
                  <w:noWrap w:val="0"/>
                  <w:vAlign w:val="top"/>
                </w:tcPr>
                <w:p>
                  <w:pPr>
                    <w:widowControl/>
                    <w:jc w:val="center"/>
                    <w:rPr>
                      <w:rFonts w:hint="eastAsia" w:eastAsia="宋体"/>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color w:val="auto"/>
                      <w:kern w:val="0"/>
                      <w:szCs w:val="21"/>
                    </w:rPr>
                  </w:pPr>
                  <w:r>
                    <w:rPr>
                      <w:rFonts w:hint="eastAsia"/>
                      <w:color w:val="auto"/>
                      <w:kern w:val="0"/>
                      <w:szCs w:val="21"/>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4" w:type="dxa"/>
                  <w:noWrap/>
                  <w:vAlign w:val="center"/>
                </w:tcPr>
                <w:p>
                  <w:pPr>
                    <w:widowControl/>
                    <w:jc w:val="center"/>
                    <w:rPr>
                      <w:rFonts w:hint="eastAsia"/>
                      <w:color w:val="auto"/>
                      <w:kern w:val="0"/>
                      <w:szCs w:val="21"/>
                    </w:rPr>
                  </w:pPr>
                  <w:r>
                    <w:rPr>
                      <w:rFonts w:hint="eastAsia"/>
                      <w:color w:val="auto"/>
                      <w:kern w:val="0"/>
                      <w:szCs w:val="21"/>
                    </w:rPr>
                    <w:t>风机</w:t>
                  </w:r>
                </w:p>
              </w:tc>
              <w:tc>
                <w:tcPr>
                  <w:tcW w:w="3204" w:type="dxa"/>
                  <w:noWrap w:val="0"/>
                  <w:vAlign w:val="top"/>
                </w:tcPr>
                <w:p>
                  <w:pPr>
                    <w:widowControl/>
                    <w:jc w:val="center"/>
                    <w:rPr>
                      <w:rFonts w:hint="eastAsia" w:eastAsia="宋体"/>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rFonts w:hint="eastAsia"/>
                      <w:color w:val="auto"/>
                      <w:kern w:val="0"/>
                      <w:szCs w:val="21"/>
                    </w:rPr>
                  </w:pPr>
                  <w:r>
                    <w:rPr>
                      <w:rFonts w:hint="eastAsia"/>
                      <w:color w:val="auto"/>
                      <w:kern w:val="0"/>
                      <w:szCs w:val="21"/>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4" w:type="dxa"/>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旋风除尘器</w:t>
                  </w:r>
                </w:p>
              </w:tc>
              <w:tc>
                <w:tcPr>
                  <w:tcW w:w="3204" w:type="dxa"/>
                  <w:noWrap w:val="0"/>
                  <w:vAlign w:val="top"/>
                </w:tcPr>
                <w:p>
                  <w:pPr>
                    <w:widowControl/>
                    <w:jc w:val="center"/>
                    <w:rPr>
                      <w:rFonts w:hint="default"/>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4" w:type="dxa"/>
                  <w:noWrap/>
                  <w:vAlign w:val="center"/>
                </w:tcPr>
                <w:p>
                  <w:pPr>
                    <w:widowControl/>
                    <w:jc w:val="center"/>
                    <w:rPr>
                      <w:rFonts w:hint="default"/>
                      <w:color w:val="auto"/>
                      <w:kern w:val="0"/>
                      <w:szCs w:val="21"/>
                      <w:lang w:val="en-US" w:eastAsia="zh-CN"/>
                    </w:rPr>
                  </w:pPr>
                  <w:r>
                    <w:rPr>
                      <w:rFonts w:hint="eastAsia"/>
                      <w:color w:val="auto"/>
                      <w:kern w:val="0"/>
                      <w:szCs w:val="21"/>
                      <w:lang w:val="en-US" w:eastAsia="zh-CN"/>
                    </w:rPr>
                    <w:t>布袋除尘器</w:t>
                  </w:r>
                </w:p>
              </w:tc>
              <w:tc>
                <w:tcPr>
                  <w:tcW w:w="3204" w:type="dxa"/>
                  <w:noWrap w:val="0"/>
                  <w:vAlign w:val="top"/>
                </w:tcPr>
                <w:p>
                  <w:pPr>
                    <w:widowControl/>
                    <w:jc w:val="center"/>
                    <w:rPr>
                      <w:rFonts w:hint="default"/>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1385" w:type="dxa"/>
                  <w:noWrap w:val="0"/>
                  <w:vAlign w:val="top"/>
                </w:tcPr>
                <w:p>
                  <w:pPr>
                    <w:widowControl/>
                    <w:jc w:val="center"/>
                    <w:rPr>
                      <w:rFonts w:hint="eastAsia"/>
                      <w:color w:val="auto"/>
                      <w:kern w:val="0"/>
                      <w:szCs w:val="21"/>
                    </w:rPr>
                  </w:pPr>
                </w:p>
              </w:tc>
            </w:tr>
          </w:tbl>
          <w:p>
            <w:pPr>
              <w:numPr>
                <w:ilvl w:val="0"/>
                <w:numId w:val="1"/>
              </w:numPr>
              <w:spacing w:line="360" w:lineRule="auto"/>
              <w:rPr>
                <w:rFonts w:hint="eastAsia"/>
                <w:b/>
                <w:bCs/>
                <w:color w:val="auto"/>
                <w:sz w:val="24"/>
                <w:lang w:val="en-US" w:eastAsia="zh-CN"/>
              </w:rPr>
            </w:pPr>
            <w:r>
              <w:rPr>
                <w:rFonts w:hint="eastAsia"/>
                <w:b/>
                <w:bCs/>
                <w:color w:val="auto"/>
                <w:sz w:val="24"/>
                <w:lang w:val="en-US" w:eastAsia="zh-CN"/>
              </w:rPr>
              <w:t>主要原辅料</w:t>
            </w:r>
          </w:p>
          <w:p>
            <w:pPr>
              <w:autoSpaceDE w:val="0"/>
              <w:autoSpaceDN w:val="0"/>
              <w:adjustRightInd w:val="0"/>
              <w:snapToGrid w:val="0"/>
              <w:jc w:val="center"/>
              <w:rPr>
                <w:b/>
                <w:bCs/>
                <w:color w:val="auto"/>
                <w:sz w:val="24"/>
                <w:szCs w:val="32"/>
              </w:rPr>
            </w:pPr>
            <w:r>
              <w:rPr>
                <w:rFonts w:hint="eastAsia"/>
                <w:b/>
                <w:bCs/>
                <w:color w:val="auto"/>
                <w:sz w:val="24"/>
                <w:szCs w:val="32"/>
              </w:rPr>
              <w:t>表</w:t>
            </w:r>
            <w:r>
              <w:rPr>
                <w:b/>
                <w:bCs/>
                <w:color w:val="auto"/>
                <w:sz w:val="24"/>
                <w:szCs w:val="32"/>
              </w:rPr>
              <w:t xml:space="preserve">2-3 </w:t>
            </w:r>
            <w:r>
              <w:rPr>
                <w:rFonts w:hint="eastAsia"/>
                <w:b/>
                <w:bCs/>
                <w:color w:val="auto"/>
                <w:sz w:val="24"/>
                <w:szCs w:val="32"/>
              </w:rPr>
              <w:t>主要原辅材料消耗</w:t>
            </w:r>
          </w:p>
          <w:tbl>
            <w:tblPr>
              <w:tblStyle w:val="30"/>
              <w:tblW w:w="83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1574"/>
              <w:gridCol w:w="1574"/>
              <w:gridCol w:w="1791"/>
              <w:gridCol w:w="691"/>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现有工程</w:t>
                  </w:r>
                </w:p>
              </w:tc>
              <w:tc>
                <w:tcPr>
                  <w:tcW w:w="1574" w:type="dxa"/>
                  <w:noWrap w:val="0"/>
                  <w:vAlign w:val="center"/>
                </w:tcPr>
                <w:p>
                  <w:pPr>
                    <w:spacing w:line="0" w:lineRule="atLeast"/>
                    <w:contextualSpacing/>
                    <w:jc w:val="center"/>
                    <w:rPr>
                      <w:rFonts w:hint="eastAsia"/>
                      <w:color w:val="auto"/>
                      <w:szCs w:val="21"/>
                      <w:lang w:val="en-US" w:eastAsia="zh-CN"/>
                    </w:rPr>
                  </w:pPr>
                  <w:r>
                    <w:rPr>
                      <w:color w:val="auto"/>
                      <w:szCs w:val="21"/>
                    </w:rPr>
                    <w:t>年用量</w:t>
                  </w:r>
                </w:p>
              </w:tc>
              <w:tc>
                <w:tcPr>
                  <w:tcW w:w="1574" w:type="dxa"/>
                  <w:noWrap w:val="0"/>
                  <w:vAlign w:val="center"/>
                </w:tcPr>
                <w:p>
                  <w:pPr>
                    <w:spacing w:line="0" w:lineRule="atLeast"/>
                    <w:contextualSpacing/>
                    <w:jc w:val="center"/>
                    <w:rPr>
                      <w:color w:val="auto"/>
                      <w:szCs w:val="21"/>
                    </w:rPr>
                  </w:pPr>
                  <w:r>
                    <w:rPr>
                      <w:rFonts w:hint="eastAsia"/>
                      <w:color w:val="auto"/>
                      <w:szCs w:val="21"/>
                      <w:lang w:val="en-US" w:eastAsia="zh-CN"/>
                    </w:rPr>
                    <w:t>本</w:t>
                  </w:r>
                  <w:r>
                    <w:rPr>
                      <w:color w:val="auto"/>
                      <w:szCs w:val="21"/>
                    </w:rPr>
                    <w:t>项目</w:t>
                  </w:r>
                </w:p>
              </w:tc>
              <w:tc>
                <w:tcPr>
                  <w:tcW w:w="1791" w:type="dxa"/>
                  <w:noWrap w:val="0"/>
                  <w:vAlign w:val="center"/>
                </w:tcPr>
                <w:p>
                  <w:pPr>
                    <w:spacing w:line="0" w:lineRule="atLeast"/>
                    <w:contextualSpacing/>
                    <w:jc w:val="center"/>
                    <w:rPr>
                      <w:color w:val="auto"/>
                      <w:szCs w:val="21"/>
                    </w:rPr>
                  </w:pPr>
                  <w:r>
                    <w:rPr>
                      <w:color w:val="auto"/>
                      <w:szCs w:val="21"/>
                    </w:rPr>
                    <w:t>年用量</w:t>
                  </w:r>
                </w:p>
              </w:tc>
              <w:tc>
                <w:tcPr>
                  <w:tcW w:w="691" w:type="dxa"/>
                  <w:noWrap w:val="0"/>
                  <w:vAlign w:val="center"/>
                </w:tcPr>
                <w:p>
                  <w:pPr>
                    <w:spacing w:line="0" w:lineRule="atLeast"/>
                    <w:contextualSpacing/>
                    <w:jc w:val="center"/>
                    <w:rPr>
                      <w:color w:val="auto"/>
                      <w:szCs w:val="21"/>
                    </w:rPr>
                  </w:pPr>
                  <w:r>
                    <w:rPr>
                      <w:color w:val="auto"/>
                      <w:szCs w:val="21"/>
                    </w:rPr>
                    <w:t>单位</w:t>
                  </w:r>
                </w:p>
              </w:tc>
              <w:tc>
                <w:tcPr>
                  <w:tcW w:w="1183" w:type="dxa"/>
                  <w:noWrap w:val="0"/>
                  <w:vAlign w:val="center"/>
                </w:tcPr>
                <w:p>
                  <w:pPr>
                    <w:spacing w:line="0" w:lineRule="atLeast"/>
                    <w:contextualSpacing/>
                    <w:jc w:val="center"/>
                    <w:rPr>
                      <w:color w:val="auto"/>
                      <w:szCs w:val="21"/>
                    </w:rPr>
                  </w:pPr>
                  <w:r>
                    <w:rPr>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1574" w:type="dxa"/>
                  <w:noWrap w:val="0"/>
                  <w:vAlign w:val="center"/>
                </w:tcPr>
                <w:p>
                  <w:pPr>
                    <w:spacing w:line="0" w:lineRule="atLeast"/>
                    <w:contextualSpacing/>
                    <w:jc w:val="center"/>
                    <w:rPr>
                      <w:rFonts w:hint="default" w:eastAsia="宋体"/>
                      <w:color w:val="auto"/>
                      <w:szCs w:val="21"/>
                      <w:lang w:val="en-US" w:eastAsia="zh-CN"/>
                    </w:rPr>
                  </w:pPr>
                  <w:r>
                    <w:rPr>
                      <w:rFonts w:hint="eastAsia"/>
                      <w:color w:val="auto"/>
                      <w:szCs w:val="21"/>
                      <w:lang w:val="en-US" w:eastAsia="zh-CN"/>
                    </w:rPr>
                    <w:t>原煤燃料</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2268</w:t>
                  </w:r>
                </w:p>
              </w:tc>
              <w:tc>
                <w:tcPr>
                  <w:tcW w:w="1574" w:type="dxa"/>
                  <w:noWrap w:val="0"/>
                  <w:vAlign w:val="center"/>
                </w:tcPr>
                <w:p>
                  <w:pPr>
                    <w:spacing w:line="0" w:lineRule="atLeast"/>
                    <w:contextualSpacing/>
                    <w:jc w:val="center"/>
                    <w:rPr>
                      <w:color w:val="auto"/>
                      <w:szCs w:val="21"/>
                    </w:rPr>
                  </w:pPr>
                  <w:r>
                    <w:rPr>
                      <w:color w:val="auto"/>
                      <w:szCs w:val="21"/>
                    </w:rPr>
                    <w:t>生物质</w:t>
                  </w:r>
                  <w:r>
                    <w:rPr>
                      <w:rFonts w:hint="eastAsia"/>
                      <w:color w:val="auto"/>
                      <w:szCs w:val="21"/>
                    </w:rPr>
                    <w:t>颗粒燃料</w:t>
                  </w:r>
                </w:p>
              </w:tc>
              <w:tc>
                <w:tcPr>
                  <w:tcW w:w="1791" w:type="dxa"/>
                  <w:noWrap w:val="0"/>
                  <w:vAlign w:val="center"/>
                </w:tcPr>
                <w:p>
                  <w:pPr>
                    <w:spacing w:line="0" w:lineRule="atLeast"/>
                    <w:contextualSpacing/>
                    <w:jc w:val="center"/>
                    <w:rPr>
                      <w:rFonts w:hint="default" w:eastAsia="宋体"/>
                      <w:color w:val="auto"/>
                      <w:szCs w:val="21"/>
                      <w:lang w:val="en-US" w:eastAsia="zh-CN"/>
                    </w:rPr>
                  </w:pPr>
                  <w:r>
                    <w:rPr>
                      <w:rFonts w:hint="eastAsia"/>
                      <w:color w:val="auto"/>
                      <w:szCs w:val="21"/>
                      <w:lang w:val="en-US" w:eastAsia="zh-CN"/>
                    </w:rPr>
                    <w:t>2996</w:t>
                  </w:r>
                </w:p>
              </w:tc>
              <w:tc>
                <w:tcPr>
                  <w:tcW w:w="691" w:type="dxa"/>
                  <w:noWrap w:val="0"/>
                  <w:vAlign w:val="center"/>
                </w:tcPr>
                <w:p>
                  <w:pPr>
                    <w:spacing w:line="0" w:lineRule="atLeast"/>
                    <w:contextualSpacing/>
                    <w:jc w:val="center"/>
                    <w:rPr>
                      <w:color w:val="auto"/>
                      <w:szCs w:val="21"/>
                    </w:rPr>
                  </w:pPr>
                  <w:r>
                    <w:rPr>
                      <w:color w:val="auto"/>
                      <w:szCs w:val="21"/>
                    </w:rPr>
                    <w:t>t/a</w:t>
                  </w:r>
                </w:p>
              </w:tc>
              <w:tc>
                <w:tcPr>
                  <w:tcW w:w="1183" w:type="dxa"/>
                  <w:noWrap w:val="0"/>
                  <w:vAlign w:val="center"/>
                </w:tcPr>
                <w:p>
                  <w:pPr>
                    <w:spacing w:line="0" w:lineRule="atLeast"/>
                    <w:contextualSpacing/>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1574" w:type="dxa"/>
                  <w:noWrap w:val="0"/>
                  <w:vAlign w:val="center"/>
                </w:tcPr>
                <w:p>
                  <w:pPr>
                    <w:spacing w:line="0" w:lineRule="atLeast"/>
                    <w:contextualSpacing/>
                    <w:jc w:val="center"/>
                    <w:rPr>
                      <w:rFonts w:hint="eastAsia"/>
                      <w:color w:val="auto"/>
                      <w:szCs w:val="21"/>
                      <w:lang w:val="en-US" w:eastAsia="zh-CN"/>
                    </w:rPr>
                  </w:pPr>
                  <w:r>
                    <w:rPr>
                      <w:rFonts w:hint="eastAsia"/>
                      <w:color w:val="auto"/>
                      <w:szCs w:val="21"/>
                      <w:lang w:val="en-US" w:eastAsia="zh-CN"/>
                    </w:rPr>
                    <w:t>新鲜水</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1575</w:t>
                  </w:r>
                </w:p>
              </w:tc>
              <w:tc>
                <w:tcPr>
                  <w:tcW w:w="1574" w:type="dxa"/>
                  <w:noWrap w:val="0"/>
                  <w:vAlign w:val="center"/>
                </w:tcPr>
                <w:p>
                  <w:pPr>
                    <w:spacing w:line="0" w:lineRule="atLeast"/>
                    <w:contextualSpacing/>
                    <w:jc w:val="center"/>
                    <w:rPr>
                      <w:rFonts w:hint="eastAsia" w:eastAsia="宋体"/>
                      <w:color w:val="auto"/>
                      <w:szCs w:val="21"/>
                      <w:lang w:val="en-US" w:eastAsia="zh-CN"/>
                    </w:rPr>
                  </w:pPr>
                  <w:r>
                    <w:rPr>
                      <w:rFonts w:hint="eastAsia"/>
                      <w:color w:val="auto"/>
                      <w:szCs w:val="21"/>
                      <w:lang w:val="en-US" w:eastAsia="zh-CN"/>
                    </w:rPr>
                    <w:t>新鲜水</w:t>
                  </w:r>
                </w:p>
              </w:tc>
              <w:tc>
                <w:tcPr>
                  <w:tcW w:w="1791" w:type="dxa"/>
                  <w:noWrap w:val="0"/>
                  <w:vAlign w:val="center"/>
                </w:tcPr>
                <w:p>
                  <w:pPr>
                    <w:spacing w:line="0" w:lineRule="atLeast"/>
                    <w:contextualSpacing/>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1235.49</w:t>
                  </w:r>
                </w:p>
              </w:tc>
              <w:tc>
                <w:tcPr>
                  <w:tcW w:w="691" w:type="dxa"/>
                  <w:noWrap w:val="0"/>
                  <w:vAlign w:val="center"/>
                </w:tcPr>
                <w:p>
                  <w:pPr>
                    <w:spacing w:line="0" w:lineRule="atLeast"/>
                    <w:contextualSpacing/>
                    <w:jc w:val="center"/>
                    <w:rPr>
                      <w:rFonts w:hint="eastAsia" w:eastAsia="宋体"/>
                      <w:color w:val="auto"/>
                      <w:szCs w:val="21"/>
                      <w:lang w:val="en-US" w:eastAsia="zh-CN"/>
                    </w:rPr>
                  </w:pPr>
                  <w:r>
                    <w:rPr>
                      <w:rFonts w:hint="eastAsia"/>
                      <w:color w:val="auto"/>
                      <w:szCs w:val="21"/>
                      <w:lang w:val="en-US" w:eastAsia="zh-CN"/>
                    </w:rPr>
                    <w:t>t/a</w:t>
                  </w:r>
                </w:p>
              </w:tc>
              <w:tc>
                <w:tcPr>
                  <w:tcW w:w="1183" w:type="dxa"/>
                  <w:noWrap w:val="0"/>
                  <w:vAlign w:val="center"/>
                </w:tcPr>
                <w:p>
                  <w:pPr>
                    <w:spacing w:line="0" w:lineRule="atLeast"/>
                    <w:contextualSpacing/>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絮凝剂</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0</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絮凝剂</w:t>
                  </w:r>
                </w:p>
              </w:tc>
              <w:tc>
                <w:tcPr>
                  <w:tcW w:w="1791" w:type="dxa"/>
                  <w:noWrap w:val="0"/>
                  <w:vAlign w:val="center"/>
                </w:tcPr>
                <w:p>
                  <w:pPr>
                    <w:spacing w:line="0" w:lineRule="atLeast"/>
                    <w:contextualSpacing/>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w:t>
                  </w:r>
                </w:p>
              </w:tc>
              <w:tc>
                <w:tcPr>
                  <w:tcW w:w="691"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t/a</w:t>
                  </w:r>
                </w:p>
              </w:tc>
              <w:tc>
                <w:tcPr>
                  <w:tcW w:w="1183"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cs="Times New Roman"/>
                <w:color w:val="auto"/>
                <w:kern w:val="0"/>
                <w:sz w:val="24"/>
                <w:szCs w:val="24"/>
                <w:lang w:val="en-US" w:eastAsia="zh-CN"/>
              </w:rPr>
            </w:pPr>
            <w:r>
              <w:rPr>
                <w:rFonts w:ascii="Times New Roman" w:hAnsi="Times New Roman" w:eastAsia="Times New Roman" w:cs="Times New Roman"/>
                <w:i w:val="0"/>
                <w:iCs w:val="0"/>
                <w:caps w:val="0"/>
                <w:color w:val="auto"/>
                <w:spacing w:val="0"/>
                <w:sz w:val="21"/>
                <w:szCs w:val="21"/>
                <w:shd w:val="clear" w:fill="FFFFFF"/>
              </w:rPr>
              <w:t>聚合氯化铝</w:t>
            </w:r>
            <w:r>
              <w:rPr>
                <w:rFonts w:hint="eastAsia" w:ascii="Times New Roman" w:hAnsi="Times New Roman" w:eastAsia="宋体" w:cs="Times New Roman"/>
                <w:i w:val="0"/>
                <w:iCs w:val="0"/>
                <w:caps w:val="0"/>
                <w:color w:val="auto"/>
                <w:spacing w:val="0"/>
                <w:sz w:val="21"/>
                <w:szCs w:val="21"/>
                <w:shd w:val="clear" w:fill="FFFFFF"/>
                <w:lang w:eastAsia="zh-CN"/>
              </w:rPr>
              <w:t>：</w:t>
            </w:r>
            <w:r>
              <w:rPr>
                <w:rFonts w:ascii="Times New Roman" w:hAnsi="Times New Roman" w:eastAsia="Times New Roman" w:cs="Times New Roman"/>
                <w:i w:val="0"/>
                <w:iCs w:val="0"/>
                <w:caps w:val="0"/>
                <w:color w:val="auto"/>
                <w:spacing w:val="0"/>
                <w:sz w:val="21"/>
                <w:szCs w:val="21"/>
                <w:shd w:val="clear" w:fill="FFFFFF"/>
              </w:rPr>
              <w:t>其类型分为饮用水用和工业水用2种，分别执行不同的相关标准，外观颜色呈黄色或淡黄色、深褐色、深灰色，形态分为液体和固体2种。该产品有较强的架桥吸附性能，在水解过程中，伴随发生凝聚、吸附和沉淀等物理化学过程。聚合氯化铝与传统无机混凝剂的根本区别在于传统无机混凝剂为低分子结晶盐，而聚合氯化铝的结构由形态多变的多元羧基络合物组成，絮凝沉淀速度快，适用pH值范围宽，对管道设备无腐蚀性，净水效果明显，能有效去除水中色质SS、COD、BOD及砷、汞等重金属离子。该产品广泛用于饮用水、工业用水和污水处理领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①</w:t>
            </w:r>
            <w:r>
              <w:rPr>
                <w:rFonts w:hint="default" w:ascii="Times New Roman" w:hAnsi="Times New Roman" w:eastAsia="宋体" w:cs="Times New Roman"/>
                <w:color w:val="auto"/>
                <w:kern w:val="0"/>
                <w:sz w:val="24"/>
                <w:szCs w:val="24"/>
                <w:lang w:val="en-US" w:eastAsia="zh-CN"/>
              </w:rPr>
              <w:t>生物质</w:t>
            </w:r>
            <w:r>
              <w:rPr>
                <w:rFonts w:hint="eastAsia" w:cs="Times New Roman"/>
                <w:color w:val="auto"/>
                <w:kern w:val="0"/>
                <w:sz w:val="24"/>
                <w:szCs w:val="24"/>
                <w:lang w:val="en-US" w:eastAsia="zh-CN"/>
              </w:rPr>
              <w:t>原料</w:t>
            </w:r>
            <w:r>
              <w:rPr>
                <w:rFonts w:hint="default" w:ascii="Times New Roman" w:hAnsi="Times New Roman" w:eastAsia="宋体" w:cs="Times New Roman"/>
                <w:color w:val="auto"/>
                <w:kern w:val="0"/>
                <w:sz w:val="24"/>
                <w:szCs w:val="24"/>
                <w:lang w:val="en-US" w:eastAsia="zh-CN"/>
              </w:rPr>
              <w:t>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color w:val="auto"/>
                <w:sz w:val="24"/>
                <w:lang w:val="en-US" w:eastAsia="zh-CN"/>
              </w:rPr>
              <w:t>燃料量以锅炉最大运行负荷计算，</w:t>
            </w:r>
            <w:r>
              <w:rPr>
                <w:rFonts w:hint="eastAsia" w:ascii="Times New Roman" w:hAnsi="宋体" w:eastAsia="宋体" w:cs="Times New Roman"/>
                <w:color w:val="auto"/>
                <w:sz w:val="24"/>
                <w:highlight w:val="none"/>
                <w:lang w:val="en-US" w:eastAsia="zh-CN"/>
              </w:rPr>
              <w:t>根据生物质燃料分析报告，生物质燃料低位发热量为14.132MJ/kg，锅炉热效率按90%计算，故生物质燃料量计算如下</w:t>
            </w:r>
            <w:r>
              <w:rPr>
                <w:rFonts w:hint="eastAsia" w:ascii="Times New Roman" w:hAnsi="Times New Roman" w:eastAsia="宋体" w:cs="Times New Roman"/>
                <w:color w:val="auto"/>
                <w:kern w:val="0"/>
                <w:sz w:val="24"/>
                <w:szCs w:val="24"/>
                <w:lang w:val="en-US" w:eastAsia="zh-CN"/>
              </w:rPr>
              <w:t>。</w:t>
            </w:r>
          </w:p>
          <w:p>
            <w:pPr>
              <w:pStyle w:val="2"/>
              <w:rPr>
                <w:rFonts w:hint="eastAsia" w:ascii="Times New Roman" w:hAnsi="宋体" w:eastAsia="宋体" w:cs="Times New Roman"/>
                <w:color w:val="auto"/>
                <w:position w:val="-26"/>
                <w:sz w:val="24"/>
                <w:highlight w:val="none"/>
                <w:lang w:val="en-US" w:eastAsia="zh-CN"/>
              </w:rPr>
            </w:pPr>
            <w:bookmarkStart w:id="13" w:name="_Toc28482"/>
            <w:bookmarkStart w:id="14" w:name="_Toc31331"/>
            <w:r>
              <w:rPr>
                <w:rFonts w:hint="eastAsia" w:ascii="Times New Roman" w:hAnsi="宋体" w:eastAsia="宋体" w:cs="Times New Roman"/>
                <w:color w:val="auto"/>
                <w:position w:val="-26"/>
                <w:sz w:val="24"/>
                <w:highlight w:val="none"/>
                <w:lang w:val="en-US" w:eastAsia="zh-CN"/>
              </w:rPr>
              <w:object>
                <v:shape id="_x0000_i1025" o:spt="75" type="#_x0000_t75" style="height:33pt;width:393pt;" o:ole="t" filled="f" o:preferrelative="t" stroked="f" coordsize="21600,21600">
                  <v:path/>
                  <v:fill on="f" focussize="0,0"/>
                  <v:stroke on="f"/>
                  <v:imagedata r:id="rId13" o:title=""/>
                  <o:lock v:ext="edit" aspectratio="t"/>
                  <w10:wrap type="none"/>
                  <w10:anchorlock/>
                </v:shape>
                <o:OLEObject Type="Embed" ProgID="Equation.KSEE3" ShapeID="_x0000_i1025" DrawAspect="Content" ObjectID="_1468075725" r:id="rId12">
                  <o:LockedField>false</o:LockedField>
                </o:OLEObject>
              </w:object>
            </w:r>
            <w:bookmarkEnd w:id="13"/>
            <w:bookmarkEnd w:id="14"/>
          </w:p>
          <w:p>
            <w:pPr>
              <w:spacing w:line="360" w:lineRule="auto"/>
              <w:ind w:firstLine="480" w:firstLineChars="200"/>
              <w:rPr>
                <w:rFonts w:hint="default" w:eastAsia="宋体"/>
                <w:color w:val="auto"/>
                <w:sz w:val="24"/>
                <w:lang w:val="en-US" w:eastAsia="zh-CN"/>
              </w:rPr>
            </w:pPr>
            <w:r>
              <w:rPr>
                <w:rFonts w:hint="eastAsia" w:ascii="Times New Roman" w:hAnsi="宋体" w:eastAsia="宋体" w:cs="Times New Roman"/>
                <w:color w:val="auto"/>
                <w:sz w:val="24"/>
                <w:highlight w:val="none"/>
                <w:lang w:val="en-US" w:eastAsia="zh-CN"/>
              </w:rPr>
              <w:t>故本项目生物质燃烧量为</w:t>
            </w:r>
            <w:r>
              <w:rPr>
                <w:rFonts w:hint="eastAsia" w:hAnsi="宋体" w:cs="Times New Roman"/>
                <w:color w:val="auto"/>
                <w:sz w:val="24"/>
                <w:highlight w:val="none"/>
                <w:lang w:val="en-US" w:eastAsia="zh-CN"/>
              </w:rPr>
              <w:t>2996</w:t>
            </w:r>
            <w:r>
              <w:rPr>
                <w:rFonts w:hint="eastAsia" w:ascii="Times New Roman" w:hAnsi="宋体" w:eastAsia="宋体" w:cs="Times New Roman"/>
                <w:color w:val="auto"/>
                <w:sz w:val="24"/>
                <w:highlight w:val="none"/>
                <w:lang w:val="en-US" w:eastAsia="zh-CN"/>
              </w:rPr>
              <w:t>t/a</w:t>
            </w:r>
            <w:r>
              <w:rPr>
                <w:color w:val="auto"/>
                <w:sz w:val="24"/>
              </w:rPr>
              <w:t>。</w:t>
            </w:r>
          </w:p>
          <w:p>
            <w:pPr>
              <w:spacing w:line="360" w:lineRule="auto"/>
              <w:rPr>
                <w:b/>
                <w:bCs/>
                <w:color w:val="auto"/>
                <w:sz w:val="24"/>
              </w:rPr>
            </w:pPr>
            <w:r>
              <w:rPr>
                <w:rFonts w:hint="eastAsia"/>
                <w:b/>
                <w:bCs/>
                <w:color w:val="auto"/>
                <w:sz w:val="24"/>
                <w:lang w:val="en-US" w:eastAsia="zh-CN"/>
              </w:rPr>
              <w:t>4</w:t>
            </w:r>
            <w:r>
              <w:rPr>
                <w:b/>
                <w:bCs/>
                <w:color w:val="auto"/>
                <w:sz w:val="24"/>
              </w:rPr>
              <w:t>、公用工程</w:t>
            </w:r>
            <w:bookmarkEnd w:id="11"/>
            <w:bookmarkEnd w:id="12"/>
          </w:p>
          <w:p>
            <w:pPr>
              <w:spacing w:line="360" w:lineRule="auto"/>
              <w:ind w:firstLine="480" w:firstLineChars="200"/>
              <w:rPr>
                <w:color w:val="auto"/>
                <w:sz w:val="24"/>
              </w:rPr>
            </w:pPr>
            <w:bookmarkStart w:id="15" w:name="_Toc229540077"/>
            <w:bookmarkStart w:id="16" w:name="_Toc235690254"/>
            <w:bookmarkStart w:id="17" w:name="_Toc238180539"/>
            <w:bookmarkStart w:id="18" w:name="_Toc234810806"/>
            <w:bookmarkStart w:id="19" w:name="_Toc236798131"/>
            <w:r>
              <w:rPr>
                <w:color w:val="auto"/>
                <w:sz w:val="24"/>
              </w:rPr>
              <w:t>（1）给排水</w:t>
            </w:r>
          </w:p>
          <w:p>
            <w:pPr>
              <w:spacing w:line="360" w:lineRule="auto"/>
              <w:ind w:firstLine="480" w:firstLineChars="200"/>
              <w:rPr>
                <w:color w:val="auto"/>
                <w:sz w:val="24"/>
              </w:rPr>
            </w:pPr>
            <w:r>
              <w:rPr>
                <w:rFonts w:hint="eastAsia" w:ascii="宋体" w:hAnsi="宋体" w:cs="宋体"/>
                <w:color w:val="auto"/>
                <w:sz w:val="24"/>
              </w:rPr>
              <w:t>①</w:t>
            </w:r>
            <w:r>
              <w:rPr>
                <w:color w:val="auto"/>
                <w:sz w:val="24"/>
              </w:rPr>
              <w:t>生活</w:t>
            </w:r>
            <w:r>
              <w:rPr>
                <w:rFonts w:hint="eastAsia"/>
                <w:color w:val="auto"/>
                <w:sz w:val="24"/>
              </w:rPr>
              <w:t>用水</w:t>
            </w:r>
          </w:p>
          <w:p>
            <w:pPr>
              <w:overflowPunct w:val="0"/>
              <w:spacing w:line="360" w:lineRule="auto"/>
              <w:ind w:firstLine="482"/>
              <w:rPr>
                <w:rFonts w:hint="default" w:eastAsia="宋体"/>
                <w:iCs/>
                <w:color w:val="auto"/>
                <w:sz w:val="24"/>
                <w:lang w:val="en-US" w:eastAsia="zh-CN"/>
              </w:rPr>
            </w:pPr>
            <w:r>
              <w:rPr>
                <w:iCs/>
                <w:color w:val="auto"/>
                <w:sz w:val="24"/>
              </w:rPr>
              <w:t>本</w:t>
            </w:r>
            <w:r>
              <w:rPr>
                <w:bCs/>
                <w:iCs/>
                <w:color w:val="auto"/>
                <w:sz w:val="24"/>
              </w:rPr>
              <w:t>项目</w:t>
            </w:r>
            <w:r>
              <w:rPr>
                <w:rFonts w:hint="eastAsia"/>
                <w:bCs/>
                <w:iCs/>
                <w:color w:val="auto"/>
                <w:sz w:val="24"/>
              </w:rPr>
              <w:t>生活用水主要为员工日常生活用水，</w:t>
            </w:r>
            <w:r>
              <w:rPr>
                <w:rFonts w:hint="eastAsia"/>
                <w:bCs/>
                <w:iCs/>
                <w:color w:val="auto"/>
                <w:sz w:val="24"/>
                <w:lang w:val="en-US" w:eastAsia="zh-CN"/>
              </w:rPr>
              <w:t>锅炉房现有人员约3</w:t>
            </w:r>
            <w:r>
              <w:rPr>
                <w:bCs/>
                <w:iCs/>
                <w:color w:val="auto"/>
                <w:sz w:val="24"/>
              </w:rPr>
              <w:t>人，用水量按</w:t>
            </w:r>
            <w:r>
              <w:rPr>
                <w:rFonts w:hint="eastAsia"/>
                <w:bCs/>
                <w:iCs/>
                <w:color w:val="auto"/>
                <w:sz w:val="24"/>
                <w:lang w:val="en-US" w:eastAsia="zh-CN"/>
              </w:rPr>
              <w:t>80</w:t>
            </w:r>
            <w:r>
              <w:rPr>
                <w:bCs/>
                <w:iCs/>
                <w:color w:val="auto"/>
                <w:sz w:val="24"/>
              </w:rPr>
              <w:t>L/人·天计</w:t>
            </w:r>
            <w:r>
              <w:rPr>
                <w:rFonts w:hint="eastAsia"/>
                <w:bCs/>
                <w:iCs/>
                <w:color w:val="auto"/>
                <w:sz w:val="24"/>
              </w:rPr>
              <w:t>算</w:t>
            </w:r>
            <w:r>
              <w:rPr>
                <w:bCs/>
                <w:iCs/>
                <w:color w:val="auto"/>
                <w:sz w:val="24"/>
              </w:rPr>
              <w:t>，则生活用水量为</w:t>
            </w:r>
            <w:r>
              <w:rPr>
                <w:rFonts w:hint="eastAsia"/>
                <w:bCs/>
                <w:iCs/>
                <w:color w:val="auto"/>
                <w:sz w:val="24"/>
                <w:lang w:val="en-US" w:eastAsia="zh-CN"/>
              </w:rPr>
              <w:t>0.24</w:t>
            </w:r>
            <w:r>
              <w:rPr>
                <w:bCs/>
                <w:iCs/>
                <w:color w:val="auto"/>
                <w:sz w:val="24"/>
              </w:rPr>
              <w:t>m</w:t>
            </w:r>
            <w:r>
              <w:rPr>
                <w:rFonts w:hint="eastAsia"/>
                <w:color w:val="auto"/>
                <w:kern w:val="0"/>
                <w:sz w:val="24"/>
                <w:vertAlign w:val="superscript"/>
                <w:lang w:val="en-US" w:eastAsia="zh-CN"/>
              </w:rPr>
              <w:t>3</w:t>
            </w:r>
            <w:r>
              <w:rPr>
                <w:bCs/>
                <w:iCs/>
                <w:color w:val="auto"/>
                <w:sz w:val="24"/>
              </w:rPr>
              <w:t>/d（</w:t>
            </w:r>
            <w:r>
              <w:rPr>
                <w:rFonts w:hint="eastAsia"/>
                <w:bCs/>
                <w:iCs/>
                <w:color w:val="auto"/>
                <w:sz w:val="24"/>
                <w:lang w:val="en-US" w:eastAsia="zh-CN"/>
              </w:rPr>
              <w:t>50.4</w:t>
            </w:r>
            <w:r>
              <w:rPr>
                <w:bCs/>
                <w:iCs/>
                <w:color w:val="auto"/>
                <w:sz w:val="24"/>
              </w:rPr>
              <w:t>m</w:t>
            </w:r>
            <w:r>
              <w:rPr>
                <w:rFonts w:hint="eastAsia"/>
                <w:color w:val="auto"/>
                <w:kern w:val="0"/>
                <w:sz w:val="24"/>
                <w:vertAlign w:val="superscript"/>
                <w:lang w:val="en-US" w:eastAsia="zh-CN"/>
              </w:rPr>
              <w:t>3</w:t>
            </w:r>
            <w:r>
              <w:rPr>
                <w:bCs/>
                <w:iCs/>
                <w:color w:val="auto"/>
                <w:sz w:val="24"/>
              </w:rPr>
              <w:t>/a）</w:t>
            </w:r>
            <w:r>
              <w:rPr>
                <w:iCs/>
                <w:color w:val="auto"/>
                <w:sz w:val="24"/>
              </w:rPr>
              <w:t>；</w:t>
            </w:r>
            <w:r>
              <w:rPr>
                <w:rFonts w:hint="eastAsia"/>
                <w:iCs/>
                <w:color w:val="auto"/>
                <w:sz w:val="24"/>
                <w:lang w:val="en-US" w:eastAsia="zh-CN"/>
              </w:rPr>
              <w:t>废水产生量以80%计，则生活污水产生量为</w:t>
            </w:r>
            <w:r>
              <w:rPr>
                <w:rFonts w:hint="eastAsia"/>
                <w:bCs/>
                <w:iCs/>
                <w:color w:val="auto"/>
                <w:sz w:val="24"/>
                <w:lang w:val="en-US" w:eastAsia="zh-CN"/>
              </w:rPr>
              <w:t>0.192</w:t>
            </w:r>
            <w:r>
              <w:rPr>
                <w:bCs/>
                <w:iCs/>
                <w:color w:val="auto"/>
                <w:sz w:val="24"/>
              </w:rPr>
              <w:t>m</w:t>
            </w:r>
            <w:r>
              <w:rPr>
                <w:rFonts w:hint="eastAsia"/>
                <w:color w:val="auto"/>
                <w:kern w:val="0"/>
                <w:sz w:val="24"/>
                <w:vertAlign w:val="superscript"/>
                <w:lang w:val="en-US" w:eastAsia="zh-CN"/>
              </w:rPr>
              <w:t>3</w:t>
            </w:r>
            <w:r>
              <w:rPr>
                <w:bCs/>
                <w:iCs/>
                <w:color w:val="auto"/>
                <w:sz w:val="24"/>
              </w:rPr>
              <w:t>/d（</w:t>
            </w:r>
            <w:r>
              <w:rPr>
                <w:rFonts w:hint="eastAsia"/>
                <w:bCs/>
                <w:iCs/>
                <w:color w:val="auto"/>
                <w:sz w:val="24"/>
                <w:lang w:val="en-US" w:eastAsia="zh-CN"/>
              </w:rPr>
              <w:t>40.32</w:t>
            </w:r>
            <w:r>
              <w:rPr>
                <w:bCs/>
                <w:iCs/>
                <w:color w:val="auto"/>
                <w:sz w:val="24"/>
              </w:rPr>
              <w:t>m</w:t>
            </w:r>
            <w:r>
              <w:rPr>
                <w:rFonts w:hint="eastAsia"/>
                <w:color w:val="auto"/>
                <w:kern w:val="0"/>
                <w:sz w:val="24"/>
                <w:vertAlign w:val="superscript"/>
                <w:lang w:val="en-US" w:eastAsia="zh-CN"/>
              </w:rPr>
              <w:t>3</w:t>
            </w:r>
            <w:r>
              <w:rPr>
                <w:bCs/>
                <w:iCs/>
                <w:color w:val="auto"/>
                <w:sz w:val="24"/>
              </w:rPr>
              <w:t>/a）</w:t>
            </w:r>
            <w:r>
              <w:rPr>
                <w:iCs/>
                <w:color w:val="auto"/>
                <w:sz w:val="24"/>
              </w:rPr>
              <w:t>；</w:t>
            </w:r>
            <w:r>
              <w:rPr>
                <w:rFonts w:hint="eastAsia"/>
                <w:iCs/>
                <w:color w:val="auto"/>
                <w:sz w:val="24"/>
                <w:lang w:val="en-US" w:eastAsia="zh-CN"/>
              </w:rPr>
              <w:t>本项目无新增劳动定员，无新增生活用水，无新增废水排放。</w:t>
            </w:r>
          </w:p>
          <w:p>
            <w:pPr>
              <w:spacing w:line="360" w:lineRule="auto"/>
              <w:ind w:firstLine="480" w:firstLineChars="200"/>
              <w:rPr>
                <w:rFonts w:hint="eastAsia" w:eastAsia="宋体"/>
                <w:color w:val="auto"/>
                <w:sz w:val="24"/>
                <w:lang w:val="en-US" w:eastAsia="zh-CN"/>
              </w:rPr>
            </w:pPr>
            <w:r>
              <w:rPr>
                <w:rFonts w:hint="eastAsia" w:ascii="宋体" w:hAnsi="宋体" w:cs="宋体"/>
                <w:color w:val="auto"/>
                <w:sz w:val="24"/>
              </w:rPr>
              <w:t>②</w:t>
            </w:r>
            <w:r>
              <w:rPr>
                <w:color w:val="auto"/>
                <w:sz w:val="24"/>
              </w:rPr>
              <w:t>锅炉系统</w:t>
            </w:r>
          </w:p>
          <w:p>
            <w:pPr>
              <w:pStyle w:val="100"/>
              <w:spacing w:line="360" w:lineRule="auto"/>
              <w:ind w:firstLine="480" w:firstLineChars="200"/>
              <w:jc w:val="both"/>
              <w:rPr>
                <w:rFonts w:ascii="Times New Roman" w:hAnsi="Times New Roman" w:eastAsia="宋体" w:cs="Times New Roman"/>
                <w:color w:val="auto"/>
                <w:kern w:val="0"/>
              </w:rPr>
            </w:pPr>
            <w:r>
              <w:rPr>
                <w:rFonts w:hint="eastAsia" w:ascii="Times New Roman" w:hAnsi="Times New Roman" w:eastAsia="宋体" w:cs="Times New Roman"/>
                <w:color w:val="auto"/>
                <w:kern w:val="0"/>
              </w:rPr>
              <w:t>本项目新建</w:t>
            </w:r>
            <w:r>
              <w:rPr>
                <w:rFonts w:hint="eastAsia" w:ascii="Times New Roman" w:hAnsi="Times New Roman" w:eastAsia="宋体" w:cs="Times New Roman"/>
                <w:color w:val="auto"/>
                <w:kern w:val="0"/>
                <w:lang w:val="en-US" w:eastAsia="zh-CN"/>
              </w:rPr>
              <w:t>1</w:t>
            </w:r>
            <w:r>
              <w:rPr>
                <w:rFonts w:hint="eastAsia" w:ascii="Times New Roman" w:hAnsi="Times New Roman" w:eastAsia="宋体" w:cs="Times New Roman"/>
                <w:color w:val="auto"/>
                <w:kern w:val="0"/>
              </w:rPr>
              <w:t>台</w:t>
            </w:r>
            <w:r>
              <w:rPr>
                <w:rFonts w:hint="eastAsia" w:ascii="Times New Roman" w:hAnsi="Times New Roman" w:eastAsia="宋体" w:cs="Times New Roman"/>
                <w:color w:val="auto"/>
                <w:kern w:val="0"/>
                <w:lang w:val="en-US" w:eastAsia="zh-CN"/>
              </w:rPr>
              <w:t>2.1MW燃生物质</w:t>
            </w:r>
            <w:r>
              <w:rPr>
                <w:rFonts w:hint="eastAsia" w:ascii="Times New Roman" w:hAnsi="Times New Roman" w:eastAsia="宋体" w:cs="Times New Roman"/>
                <w:color w:val="auto"/>
                <w:kern w:val="0"/>
              </w:rPr>
              <w:t>热水锅炉用于</w:t>
            </w:r>
            <w:r>
              <w:rPr>
                <w:rFonts w:hint="eastAsia" w:ascii="Times New Roman" w:hAnsi="Times New Roman" w:cs="Times New Roman"/>
                <w:color w:val="auto"/>
                <w:kern w:val="0"/>
                <w:lang w:val="en-US" w:eastAsia="zh-CN"/>
              </w:rPr>
              <w:t>供暖</w:t>
            </w:r>
            <w:r>
              <w:rPr>
                <w:rFonts w:hint="eastAsia" w:ascii="Times New Roman" w:hAnsi="Times New Roman" w:eastAsia="宋体" w:cs="Times New Roman"/>
                <w:color w:val="auto"/>
                <w:kern w:val="0"/>
              </w:rPr>
              <w:t>。</w:t>
            </w:r>
          </w:p>
          <w:p>
            <w:pPr>
              <w:adjustRightInd w:val="0"/>
              <w:snapToGrid w:val="0"/>
              <w:spacing w:line="360" w:lineRule="auto"/>
              <w:ind w:firstLine="480" w:firstLineChars="200"/>
              <w:rPr>
                <w:rFonts w:hint="default" w:eastAsia="宋体"/>
                <w:color w:val="auto"/>
                <w:kern w:val="0"/>
                <w:sz w:val="24"/>
                <w:lang w:val="en-US" w:eastAsia="zh-CN"/>
              </w:rPr>
            </w:pPr>
            <w:r>
              <w:rPr>
                <w:color w:val="auto"/>
                <w:sz w:val="24"/>
              </w:rPr>
              <w:t>根据《</w:t>
            </w:r>
            <w:r>
              <w:rPr>
                <w:rFonts w:hint="eastAsia"/>
                <w:color w:val="auto"/>
                <w:sz w:val="24"/>
              </w:rPr>
              <w:t>排放源统计调查产排污核算方法和系数手册》中“4430工业锅炉（热力供应）行业系数手册”中产污系数</w:t>
            </w:r>
            <w:r>
              <w:rPr>
                <w:color w:val="auto"/>
                <w:sz w:val="24"/>
              </w:rPr>
              <w:t>，燃生物质锅炉（锅</w:t>
            </w:r>
            <w:r>
              <w:rPr>
                <w:rFonts w:hint="eastAsia"/>
                <w:color w:val="auto"/>
                <w:sz w:val="24"/>
                <w:lang w:val="en-US" w:eastAsia="zh-CN"/>
              </w:rPr>
              <w:t>外</w:t>
            </w:r>
            <w:r>
              <w:rPr>
                <w:color w:val="auto"/>
                <w:sz w:val="24"/>
              </w:rPr>
              <w:t>水处理）</w:t>
            </w:r>
            <w:r>
              <w:rPr>
                <w:rFonts w:hint="eastAsia"/>
                <w:color w:val="auto"/>
                <w:sz w:val="24"/>
                <w:lang w:eastAsia="zh-CN"/>
              </w:rPr>
              <w:t>废水产生系数为</w:t>
            </w:r>
            <w:r>
              <w:rPr>
                <w:color w:val="auto"/>
                <w:sz w:val="24"/>
              </w:rPr>
              <w:t>0.</w:t>
            </w:r>
            <w:r>
              <w:rPr>
                <w:rFonts w:hint="eastAsia"/>
                <w:color w:val="auto"/>
                <w:sz w:val="24"/>
                <w:lang w:val="en-US" w:eastAsia="zh-CN"/>
              </w:rPr>
              <w:t>356</w:t>
            </w:r>
            <w:r>
              <w:rPr>
                <w:color w:val="auto"/>
                <w:sz w:val="24"/>
              </w:rPr>
              <w:t>吨/吨-原料，本项目生物质成型燃料使用量为</w:t>
            </w:r>
            <w:r>
              <w:rPr>
                <w:rFonts w:hint="eastAsia"/>
                <w:color w:val="auto"/>
                <w:sz w:val="24"/>
                <w:lang w:val="en-US" w:eastAsia="zh-CN"/>
              </w:rPr>
              <w:t>2996</w:t>
            </w:r>
            <w:r>
              <w:rPr>
                <w:color w:val="auto"/>
                <w:sz w:val="24"/>
              </w:rPr>
              <w:t>t/a，则锅炉排污水总的产生量为</w:t>
            </w:r>
            <w:r>
              <w:rPr>
                <w:rFonts w:hint="eastAsia"/>
                <w:color w:val="auto"/>
                <w:sz w:val="24"/>
                <w:lang w:val="en-US" w:eastAsia="zh-CN"/>
              </w:rPr>
              <w:t>5.08</w:t>
            </w:r>
            <w:r>
              <w:rPr>
                <w:rFonts w:hint="eastAsia"/>
                <w:color w:val="auto"/>
                <w:sz w:val="24"/>
              </w:rPr>
              <w:t>t/d，</w:t>
            </w:r>
            <w:r>
              <w:rPr>
                <w:rFonts w:hint="eastAsia"/>
                <w:color w:val="auto"/>
                <w:kern w:val="0"/>
                <w:sz w:val="24"/>
                <w:lang w:val="en-US" w:eastAsia="zh-CN"/>
              </w:rPr>
              <w:t>1066.58</w:t>
            </w:r>
            <w:r>
              <w:rPr>
                <w:color w:val="auto"/>
                <w:sz w:val="24"/>
              </w:rPr>
              <w:t>t/a。</w:t>
            </w:r>
            <w:r>
              <w:rPr>
                <w:color w:val="auto"/>
                <w:kern w:val="0"/>
                <w:sz w:val="24"/>
              </w:rPr>
              <w:t>排放量按用水量90%计，则锅炉用水量为</w:t>
            </w:r>
            <w:r>
              <w:rPr>
                <w:rFonts w:hint="eastAsia"/>
                <w:color w:val="auto"/>
                <w:kern w:val="0"/>
                <w:sz w:val="24"/>
                <w:lang w:val="en-US" w:eastAsia="zh-CN"/>
              </w:rPr>
              <w:t>5.64</w:t>
            </w:r>
            <w:r>
              <w:rPr>
                <w:color w:val="auto"/>
                <w:kern w:val="0"/>
                <w:sz w:val="24"/>
              </w:rPr>
              <w:t>t/d，</w:t>
            </w:r>
            <w:r>
              <w:rPr>
                <w:rFonts w:hint="eastAsia"/>
                <w:color w:val="auto"/>
                <w:kern w:val="0"/>
                <w:sz w:val="24"/>
                <w:lang w:val="en-US" w:eastAsia="zh-CN"/>
              </w:rPr>
              <w:t>1185.09</w:t>
            </w:r>
            <w:r>
              <w:rPr>
                <w:color w:val="auto"/>
                <w:kern w:val="0"/>
                <w:sz w:val="24"/>
              </w:rPr>
              <w:t>t/a。</w:t>
            </w:r>
            <w:r>
              <w:rPr>
                <w:rFonts w:hint="eastAsia"/>
                <w:color w:val="auto"/>
                <w:kern w:val="0"/>
                <w:sz w:val="24"/>
                <w:lang w:val="en-US" w:eastAsia="zh-CN"/>
              </w:rPr>
              <w:t>软化水制水率约80%，则本项目软化水废水排放量为237.02t/a，1.13t/d，锅炉废水排放量为829.56t/a，3.95t/d。</w:t>
            </w:r>
          </w:p>
          <w:p>
            <w:pPr>
              <w:keepLines w:val="0"/>
              <w:pageBreakBefore w:val="0"/>
              <w:widowControl w:val="0"/>
              <w:kinsoku/>
              <w:wordWrap/>
              <w:topLinePunct w:val="0"/>
              <w:autoSpaceDE/>
              <w:autoSpaceDN/>
              <w:bidi w:val="0"/>
              <w:adjustRightInd/>
              <w:spacing w:line="360" w:lineRule="auto"/>
              <w:ind w:left="0" w:firstLine="480" w:firstLineChars="200"/>
              <w:textAlignment w:val="auto"/>
              <w:rPr>
                <w:color w:val="auto"/>
                <w:sz w:val="24"/>
              </w:rPr>
            </w:pPr>
            <w:r>
              <w:rPr>
                <w:rFonts w:hint="default" w:ascii="Times New Roman" w:hAnsi="Times New Roman" w:eastAsia="宋体" w:cs="Times New Roman"/>
                <w:b w:val="0"/>
                <w:bCs w:val="0"/>
                <w:color w:val="auto"/>
                <w:sz w:val="24"/>
                <w:szCs w:val="24"/>
              </w:rPr>
              <w:t>用水由市政供水管网统一供应，可满足本项目用</w:t>
            </w:r>
            <w:r>
              <w:rPr>
                <w:color w:val="auto"/>
                <w:sz w:val="24"/>
              </w:rPr>
              <w:t>水需求。</w:t>
            </w:r>
            <w:r>
              <w:rPr>
                <w:rFonts w:hint="eastAsia"/>
                <w:color w:val="auto"/>
                <w:sz w:val="24"/>
                <w:lang w:val="en-US" w:eastAsia="zh-CN"/>
              </w:rPr>
              <w:t>锅炉废水和软化水处理废水排入沉淀池内，定期加入絮凝剂（PAC）一部分用于灰渣降尘，一部分用于厂区降尘；生活污水经化粪池处理后定期清掏，外运堆肥，不外排</w:t>
            </w:r>
            <w:r>
              <w:rPr>
                <w:color w:val="auto"/>
                <w:sz w:val="24"/>
              </w:rPr>
              <w:t>。</w:t>
            </w:r>
          </w:p>
          <w:p>
            <w:pPr>
              <w:spacing w:line="360" w:lineRule="auto"/>
              <w:rPr>
                <w:rFonts w:hint="eastAsia" w:eastAsia="宋体"/>
                <w:color w:val="auto"/>
                <w:lang w:eastAsia="zh-CN"/>
              </w:rPr>
            </w:pPr>
            <w:r>
              <w:rPr>
                <w:rFonts w:hint="eastAsia" w:eastAsia="宋体"/>
                <w:color w:val="auto"/>
                <w:lang w:eastAsia="zh-CN"/>
              </w:rPr>
              <w:drawing>
                <wp:inline distT="0" distB="0" distL="114300" distR="114300">
                  <wp:extent cx="5382895" cy="1920240"/>
                  <wp:effectExtent l="0" t="0" r="0" b="0"/>
                  <wp:docPr id="14" name="ECB019B1-382A-4266-B25C-5B523AA43C14-1" descr="C:/Users/WY001/AppData/Local/Temp/wps.unRFBy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1" descr="C:/Users/WY001/AppData/Local/Temp/wps.unRFBywps"/>
                          <pic:cNvPicPr>
                            <a:picLocks noChangeAspect="1"/>
                          </pic:cNvPicPr>
                        </pic:nvPicPr>
                        <pic:blipFill>
                          <a:blip r:embed="rId14"/>
                          <a:stretch>
                            <a:fillRect/>
                          </a:stretch>
                        </pic:blipFill>
                        <pic:spPr>
                          <a:xfrm>
                            <a:off x="0" y="0"/>
                            <a:ext cx="5382895" cy="1920240"/>
                          </a:xfrm>
                          <a:prstGeom prst="rect">
                            <a:avLst/>
                          </a:prstGeom>
                        </pic:spPr>
                      </pic:pic>
                    </a:graphicData>
                  </a:graphic>
                </wp:inline>
              </w:drawing>
            </w:r>
          </w:p>
          <w:p>
            <w:pPr>
              <w:spacing w:line="360" w:lineRule="auto"/>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1  水平衡图</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t/</w:t>
            </w:r>
            <w:r>
              <w:rPr>
                <w:rFonts w:hint="default" w:ascii="Times New Roman" w:hAnsi="Times New Roman" w:eastAsia="宋体" w:cs="Times New Roman"/>
                <w:b/>
                <w:bCs/>
                <w:color w:val="auto"/>
                <w:sz w:val="24"/>
                <w:szCs w:val="24"/>
                <w:lang w:val="en-US" w:eastAsia="zh-CN"/>
              </w:rPr>
              <w:t>d）</w:t>
            </w:r>
          </w:p>
          <w:p>
            <w:pPr>
              <w:spacing w:line="360" w:lineRule="auto"/>
              <w:ind w:firstLine="480" w:firstLineChars="200"/>
              <w:rPr>
                <w:color w:val="auto"/>
                <w:sz w:val="24"/>
              </w:rPr>
            </w:pPr>
            <w:r>
              <w:rPr>
                <w:color w:val="auto"/>
                <w:sz w:val="24"/>
              </w:rPr>
              <w:t>（2）供电</w:t>
            </w:r>
          </w:p>
          <w:p>
            <w:pPr>
              <w:spacing w:line="360" w:lineRule="auto"/>
              <w:ind w:firstLine="480" w:firstLineChars="200"/>
              <w:rPr>
                <w:color w:val="auto"/>
                <w:sz w:val="24"/>
              </w:rPr>
            </w:pPr>
            <w:r>
              <w:rPr>
                <w:color w:val="auto"/>
                <w:sz w:val="24"/>
              </w:rPr>
              <w:t>供电由</w:t>
            </w:r>
            <w:r>
              <w:rPr>
                <w:rFonts w:hint="eastAsia"/>
                <w:color w:val="auto"/>
                <w:sz w:val="24"/>
                <w:lang w:val="en-US" w:eastAsia="zh-CN"/>
              </w:rPr>
              <w:t>当地电业局提供</w:t>
            </w:r>
            <w:r>
              <w:rPr>
                <w:color w:val="auto"/>
                <w:sz w:val="24"/>
              </w:rPr>
              <w:t>。</w:t>
            </w:r>
          </w:p>
          <w:p>
            <w:pPr>
              <w:spacing w:line="360" w:lineRule="auto"/>
              <w:ind w:firstLine="480" w:firstLineChars="200"/>
              <w:rPr>
                <w:color w:val="auto"/>
                <w:sz w:val="24"/>
              </w:rPr>
            </w:pPr>
            <w:r>
              <w:rPr>
                <w:color w:val="auto"/>
                <w:sz w:val="24"/>
              </w:rPr>
              <w:t>（3）供热</w:t>
            </w:r>
          </w:p>
          <w:bookmarkEnd w:id="15"/>
          <w:bookmarkEnd w:id="16"/>
          <w:bookmarkEnd w:id="17"/>
          <w:bookmarkEnd w:id="18"/>
          <w:bookmarkEnd w:id="19"/>
          <w:p>
            <w:pPr>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由新建锅炉进行供热</w:t>
            </w:r>
            <w:r>
              <w:rPr>
                <w:color w:val="auto"/>
                <w:sz w:val="24"/>
              </w:rPr>
              <w:t>。</w:t>
            </w:r>
          </w:p>
          <w:p>
            <w:pPr>
              <w:spacing w:line="360" w:lineRule="auto"/>
              <w:rPr>
                <w:b/>
                <w:bCs/>
                <w:color w:val="auto"/>
                <w:sz w:val="24"/>
              </w:rPr>
            </w:pPr>
            <w:bookmarkStart w:id="20" w:name="_Toc23999"/>
            <w:bookmarkStart w:id="21" w:name="_Toc38800592"/>
            <w:r>
              <w:rPr>
                <w:rFonts w:hint="eastAsia"/>
                <w:b/>
                <w:bCs/>
                <w:color w:val="auto"/>
                <w:sz w:val="24"/>
                <w:lang w:val="en-US" w:eastAsia="zh-CN"/>
              </w:rPr>
              <w:t>5</w:t>
            </w:r>
            <w:r>
              <w:rPr>
                <w:b/>
                <w:bCs/>
                <w:color w:val="auto"/>
                <w:sz w:val="24"/>
              </w:rPr>
              <w:t>、劳动定员及工作制度</w:t>
            </w:r>
            <w:bookmarkEnd w:id="20"/>
            <w:bookmarkEnd w:id="21"/>
          </w:p>
          <w:p>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锅炉房现有定</w:t>
            </w:r>
            <w:r>
              <w:rPr>
                <w:color w:val="auto"/>
                <w:sz w:val="24"/>
              </w:rPr>
              <w:t>员</w:t>
            </w:r>
            <w:r>
              <w:rPr>
                <w:rFonts w:hint="eastAsia"/>
                <w:color w:val="auto"/>
                <w:sz w:val="24"/>
                <w:lang w:val="en-US" w:eastAsia="zh-CN"/>
              </w:rPr>
              <w:t>3</w:t>
            </w:r>
            <w:r>
              <w:rPr>
                <w:color w:val="auto"/>
                <w:sz w:val="24"/>
              </w:rPr>
              <w:t>人，年工作</w:t>
            </w:r>
            <w:r>
              <w:rPr>
                <w:rFonts w:hint="eastAsia"/>
                <w:color w:val="auto"/>
                <w:sz w:val="24"/>
                <w:lang w:val="en-US" w:eastAsia="zh-CN"/>
              </w:rPr>
              <w:t>210</w:t>
            </w:r>
            <w:r>
              <w:rPr>
                <w:color w:val="auto"/>
                <w:sz w:val="24"/>
              </w:rPr>
              <w:t>天，</w:t>
            </w:r>
            <w:r>
              <w:rPr>
                <w:rFonts w:hint="eastAsia"/>
                <w:color w:val="auto"/>
                <w:sz w:val="24"/>
                <w:lang w:val="en-US" w:eastAsia="zh-CN"/>
              </w:rPr>
              <w:t>2</w:t>
            </w:r>
            <w:r>
              <w:rPr>
                <w:color w:val="auto"/>
                <w:sz w:val="24"/>
              </w:rPr>
              <w:t>班工作制，每班</w:t>
            </w:r>
            <w:r>
              <w:rPr>
                <w:rFonts w:hint="eastAsia"/>
                <w:color w:val="auto"/>
                <w:sz w:val="24"/>
                <w:lang w:val="en-US" w:eastAsia="zh-CN"/>
              </w:rPr>
              <w:t>12</w:t>
            </w:r>
            <w:r>
              <w:rPr>
                <w:color w:val="auto"/>
                <w:sz w:val="24"/>
              </w:rPr>
              <w:t>小时。</w:t>
            </w:r>
            <w:r>
              <w:rPr>
                <w:rFonts w:hint="eastAsia"/>
                <w:color w:val="auto"/>
                <w:sz w:val="24"/>
                <w:lang w:val="en-US" w:eastAsia="zh-CN"/>
              </w:rPr>
              <w:t>锅炉每天运行24小时，年运行210天。本项目不新增劳动定员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454" w:type="dxa"/>
            <w:noWrap w:val="0"/>
            <w:vAlign w:val="center"/>
          </w:tcPr>
          <w:p>
            <w:pPr>
              <w:pStyle w:val="27"/>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606" w:type="dxa"/>
            <w:noWrap w:val="0"/>
            <w:vAlign w:val="top"/>
          </w:tcPr>
          <w:p>
            <w:pPr>
              <w:adjustRightInd w:val="0"/>
              <w:snapToGrid w:val="0"/>
              <w:spacing w:before="120" w:beforeLines="50" w:line="360" w:lineRule="auto"/>
              <w:rPr>
                <w:color w:val="auto"/>
                <w:kern w:val="0"/>
                <w:sz w:val="24"/>
              </w:rPr>
            </w:pPr>
            <w:r>
              <w:rPr>
                <w:rFonts w:hint="eastAsia"/>
                <w:color w:val="auto"/>
                <w:kern w:val="0"/>
                <w:sz w:val="24"/>
              </w:rPr>
              <w:t>1、工艺流程简述：</w:t>
            </w:r>
          </w:p>
          <w:p>
            <w:pPr>
              <w:adjustRightInd w:val="0"/>
              <w:snapToGrid w:val="0"/>
              <w:spacing w:line="360" w:lineRule="auto"/>
              <w:ind w:firstLine="480" w:firstLineChars="200"/>
              <w:rPr>
                <w:rFonts w:hint="default" w:eastAsia="宋体"/>
                <w:color w:val="auto"/>
                <w:kern w:val="0"/>
                <w:sz w:val="24"/>
                <w:lang w:val="en-US" w:eastAsia="zh-CN"/>
              </w:rPr>
            </w:pPr>
            <w:bookmarkStart w:id="22" w:name="_Hlk108069260"/>
            <w:r>
              <w:rPr>
                <w:color w:val="auto"/>
                <w:kern w:val="0"/>
                <w:sz w:val="24"/>
              </w:rPr>
              <w:t>本项目原料为外购的生物质燃料，人工将生物质成型燃料投加到锅炉中，锅炉通过燃烧生物质为</w:t>
            </w:r>
            <w:r>
              <w:rPr>
                <w:rFonts w:hint="eastAsia"/>
                <w:color w:val="auto"/>
                <w:kern w:val="0"/>
                <w:sz w:val="24"/>
                <w:lang w:val="en-US" w:eastAsia="zh-CN"/>
              </w:rPr>
              <w:t>生活</w:t>
            </w:r>
            <w:r>
              <w:rPr>
                <w:rFonts w:hint="eastAsia"/>
                <w:color w:val="auto"/>
                <w:kern w:val="0"/>
                <w:sz w:val="24"/>
              </w:rPr>
              <w:t>供暖</w:t>
            </w:r>
            <w:r>
              <w:rPr>
                <w:color w:val="auto"/>
                <w:kern w:val="0"/>
                <w:sz w:val="24"/>
              </w:rPr>
              <w:t>，锅炉</w:t>
            </w:r>
            <w:r>
              <w:rPr>
                <w:rFonts w:hint="eastAsia"/>
                <w:color w:val="auto"/>
                <w:kern w:val="0"/>
                <w:sz w:val="24"/>
                <w:lang w:val="en-US" w:eastAsia="zh-CN"/>
              </w:rPr>
              <w:t>采用低氮燃烧技术，</w:t>
            </w:r>
            <w:r>
              <w:rPr>
                <w:color w:val="auto"/>
                <w:kern w:val="0"/>
                <w:sz w:val="24"/>
              </w:rPr>
              <w:t>烟气经</w:t>
            </w:r>
            <w:r>
              <w:rPr>
                <w:rFonts w:hint="eastAsia"/>
                <w:bCs/>
                <w:color w:val="auto"/>
                <w:kern w:val="0"/>
                <w:sz w:val="24"/>
                <w:szCs w:val="21"/>
              </w:rPr>
              <w:t>旋风+</w:t>
            </w:r>
            <w:r>
              <w:rPr>
                <w:rFonts w:hint="eastAsia"/>
                <w:color w:val="auto"/>
                <w:kern w:val="0"/>
                <w:sz w:val="24"/>
              </w:rPr>
              <w:t>布袋除尘器+低氮燃烧</w:t>
            </w:r>
            <w:r>
              <w:rPr>
                <w:rFonts w:hint="eastAsia"/>
                <w:color w:val="auto"/>
                <w:kern w:val="0"/>
                <w:sz w:val="24"/>
                <w:lang w:val="en-US" w:eastAsia="zh-CN"/>
              </w:rPr>
              <w:t>技术</w:t>
            </w:r>
            <w:r>
              <w:rPr>
                <w:color w:val="auto"/>
                <w:kern w:val="0"/>
                <w:sz w:val="24"/>
              </w:rPr>
              <w:t>处理后由</w:t>
            </w:r>
            <w:r>
              <w:rPr>
                <w:rFonts w:hint="eastAsia"/>
                <w:color w:val="auto"/>
                <w:kern w:val="0"/>
                <w:sz w:val="24"/>
                <w:lang w:val="en-US" w:eastAsia="zh-CN"/>
              </w:rPr>
              <w:t>3</w:t>
            </w:r>
            <w:r>
              <w:rPr>
                <w:color w:val="auto"/>
                <w:kern w:val="0"/>
                <w:sz w:val="24"/>
              </w:rPr>
              <w:t>0m高烟囱排放。锅炉灰渣和除尘器回收的粉尘集中收集，外售综合利用。</w:t>
            </w:r>
            <w:bookmarkEnd w:id="22"/>
            <w:r>
              <w:rPr>
                <w:rFonts w:hint="eastAsia"/>
                <w:color w:val="auto"/>
                <w:kern w:val="0"/>
                <w:sz w:val="24"/>
                <w:lang w:val="en-US" w:eastAsia="zh-CN"/>
              </w:rPr>
              <w:t>锅炉用水来自市政管网，排水用于灰渣降尘。</w:t>
            </w:r>
          </w:p>
          <w:p>
            <w:pPr>
              <w:adjustRightInd w:val="0"/>
              <w:snapToGrid w:val="0"/>
              <w:spacing w:line="360" w:lineRule="auto"/>
              <w:rPr>
                <w:color w:val="auto"/>
                <w:kern w:val="0"/>
                <w:sz w:val="24"/>
              </w:rPr>
            </w:pPr>
            <w:r>
              <w:rPr>
                <w:rFonts w:hint="eastAsia"/>
                <w:color w:val="auto"/>
                <w:kern w:val="0"/>
                <w:sz w:val="24"/>
              </w:rPr>
              <w:t>2、运营期工艺流程及产排污节点如下图所示。</w:t>
            </w:r>
          </w:p>
          <w:p>
            <w:pPr>
              <w:adjustRightInd w:val="0"/>
              <w:snapToGrid w:val="0"/>
              <w:spacing w:line="360" w:lineRule="auto"/>
              <w:jc w:val="center"/>
              <w:rPr>
                <w:b/>
                <w:bCs/>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3402965</wp:posOffset>
                      </wp:positionH>
                      <wp:positionV relativeFrom="paragraph">
                        <wp:posOffset>993140</wp:posOffset>
                      </wp:positionV>
                      <wp:extent cx="1210310" cy="387350"/>
                      <wp:effectExtent l="4445" t="4445" r="23495" b="8255"/>
                      <wp:wrapNone/>
                      <wp:docPr id="8" name="文本框 8"/>
                      <wp:cNvGraphicFramePr/>
                      <a:graphic xmlns:a="http://schemas.openxmlformats.org/drawingml/2006/main">
                        <a:graphicData uri="http://schemas.microsoft.com/office/word/2010/wordprocessingShape">
                          <wps:wsp>
                            <wps:cNvSpPr txBox="1"/>
                            <wps:spPr>
                              <a:xfrm>
                                <a:off x="4664075" y="3940810"/>
                                <a:ext cx="1210310" cy="387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95pt;margin-top:78.2pt;height:30.5pt;width:95.3pt;z-index:251679744;mso-width-relative:page;mso-height-relative:page;" fillcolor="#FFFFFF [3201]" filled="t" stroked="t" coordsize="21600,21600" o:gfxdata="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PNCQ9gAAAALAQAADwAAAAAAAAABACAA&#10;AAAiAAAAZHJzL2Rvd25yZXYueG1sUEsBAhQAFAAAAAgAh07iQCdu7s1GAgAAdQQAAA4AAAAAAAAA&#10;AQAgAAAAJwEAAGRycy9lMm9Eb2MueG1sUEsFBgAAAAAGAAYAWQEAAN8FA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噪声、固废</w:t>
                            </w:r>
                          </w:p>
                        </w:txbxContent>
                      </v:textbox>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2703830</wp:posOffset>
                      </wp:positionH>
                      <wp:positionV relativeFrom="paragraph">
                        <wp:posOffset>168910</wp:posOffset>
                      </wp:positionV>
                      <wp:extent cx="656590" cy="770890"/>
                      <wp:effectExtent l="4445" t="4445" r="5715" b="5715"/>
                      <wp:wrapNone/>
                      <wp:docPr id="12" name="文本框 12"/>
                      <wp:cNvGraphicFramePr/>
                      <a:graphic xmlns:a="http://schemas.openxmlformats.org/drawingml/2006/main">
                        <a:graphicData uri="http://schemas.microsoft.com/office/word/2010/wordprocessingShape">
                          <wps:wsp>
                            <wps:cNvSpPr txBox="1"/>
                            <wps:spPr>
                              <a:xfrm>
                                <a:off x="3964940" y="7859395"/>
                                <a:ext cx="656590" cy="770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颗粒物、二氧化硫、氮氧化物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pt;margin-top:13.3pt;height:60.7pt;width:51.7pt;z-index:251673600;mso-width-relative:page;mso-height-relative:page;" fillcolor="#FFFFFF [3201]" filled="t" stroked="t" coordsize="21600,21600" o:gfxdata="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Bdy+HXAAAACgEAAA8AAAAAAAAAAQAg&#10;AAAAIgAAAGRycy9kb3ducmV2LnhtbFBLAQIUABQAAAAIAIdO4kCrHsi9SAIAAHYEAAAOAAAAAAAA&#10;AAEAIAAAACYBAABkcnMvZTJvRG9jLnhtbFBLBQYAAAAABgAGAFkBAADg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颗粒物、二氧化硫、氮氧化物</w:t>
                            </w:r>
                          </w:p>
                        </w:txbxContent>
                      </v:textbox>
                    </v:shape>
                  </w:pict>
                </mc:Fallback>
              </mc:AlternateContent>
            </w:r>
            <w:r>
              <w:rPr>
                <w:color w:val="auto"/>
              </w:rPr>
              <w:drawing>
                <wp:inline distT="0" distB="0" distL="114300" distR="114300">
                  <wp:extent cx="5351145" cy="1958975"/>
                  <wp:effectExtent l="0" t="0" r="1905" b="31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5"/>
                          <a:stretch>
                            <a:fillRect/>
                          </a:stretch>
                        </pic:blipFill>
                        <pic:spPr>
                          <a:xfrm>
                            <a:off x="0" y="0"/>
                            <a:ext cx="5351145" cy="1958975"/>
                          </a:xfrm>
                          <a:prstGeom prst="rect">
                            <a:avLst/>
                          </a:prstGeom>
                          <a:noFill/>
                          <a:ln>
                            <a:noFill/>
                          </a:ln>
                        </pic:spPr>
                      </pic:pic>
                    </a:graphicData>
                  </a:graphic>
                </wp:inline>
              </w:drawing>
            </w:r>
          </w:p>
          <w:p>
            <w:pPr>
              <w:adjustRightInd w:val="0"/>
              <w:snapToGrid w:val="0"/>
              <w:spacing w:line="360" w:lineRule="auto"/>
              <w:jc w:val="center"/>
              <w:rPr>
                <w:b/>
                <w:bCs/>
                <w:color w:val="auto"/>
                <w:sz w:val="24"/>
              </w:rPr>
            </w:pPr>
            <w:r>
              <w:rPr>
                <w:b/>
                <w:bCs/>
                <w:color w:val="auto"/>
                <w:sz w:val="24"/>
              </w:rPr>
              <w:t>图</w:t>
            </w:r>
            <w:r>
              <w:rPr>
                <w:rFonts w:hint="eastAsia"/>
                <w:b/>
                <w:bCs/>
                <w:color w:val="auto"/>
                <w:sz w:val="24"/>
                <w:lang w:val="en-US" w:eastAsia="zh-CN"/>
              </w:rPr>
              <w:t>2-2</w:t>
            </w:r>
            <w:r>
              <w:rPr>
                <w:b/>
                <w:bCs/>
                <w:color w:val="auto"/>
                <w:sz w:val="24"/>
              </w:rPr>
              <w:t xml:space="preserve">   锅炉工艺流程及产排污环节示意图</w:t>
            </w:r>
          </w:p>
          <w:p>
            <w:pPr>
              <w:pStyle w:val="100"/>
              <w:spacing w:before="120" w:beforeLines="50" w:line="360" w:lineRule="auto"/>
              <w:jc w:val="left"/>
              <w:rPr>
                <w:rFonts w:ascii="Times New Roman" w:hAnsi="Times New Roman" w:eastAsia="宋体" w:cs="Times New Roman"/>
                <w:color w:val="auto"/>
                <w:kern w:val="0"/>
              </w:rPr>
            </w:pPr>
            <w:r>
              <w:rPr>
                <w:rFonts w:hint="eastAsia" w:ascii="Times New Roman" w:hAnsi="Times New Roman" w:eastAsia="宋体" w:cs="Times New Roman"/>
                <w:color w:val="auto"/>
                <w:kern w:val="0"/>
              </w:rPr>
              <w:t>3、主要污染工序及污染因子：</w:t>
            </w:r>
          </w:p>
          <w:p>
            <w:pPr>
              <w:pStyle w:val="95"/>
              <w:numPr>
                <w:ilvl w:val="0"/>
                <w:numId w:val="0"/>
              </w:numPr>
              <w:adjustRightInd/>
              <w:snapToGrid/>
              <w:spacing w:line="240" w:lineRule="auto"/>
              <w:ind w:left="0" w:leftChars="0" w:firstLine="0" w:firstLineChars="0"/>
              <w:rPr>
                <w:b/>
                <w:color w:val="auto"/>
                <w:szCs w:val="24"/>
              </w:rPr>
            </w:pPr>
            <w:r>
              <w:rPr>
                <w:rFonts w:hint="eastAsia"/>
                <w:b/>
                <w:bCs/>
                <w:color w:val="auto"/>
                <w:kern w:val="0"/>
                <w:sz w:val="24"/>
                <w:szCs w:val="21"/>
                <w:lang w:val="en-US" w:eastAsia="zh-CN" w:bidi="ar-SA"/>
              </w:rPr>
              <w:t>表2-4</w:t>
            </w:r>
            <w:r>
              <w:rPr>
                <w:rFonts w:hint="eastAsia"/>
                <w:b/>
                <w:color w:val="auto"/>
                <w:szCs w:val="24"/>
              </w:rPr>
              <w:t xml:space="preserve">    主要污染工序及污染因子一览表</w:t>
            </w:r>
          </w:p>
          <w:tbl>
            <w:tblPr>
              <w:tblStyle w:val="30"/>
              <w:tblW w:w="83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349"/>
              <w:gridCol w:w="3271"/>
              <w:gridCol w:w="24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349" w:type="dxa"/>
                  <w:noWrap w:val="0"/>
                  <w:vAlign w:val="center"/>
                </w:tcPr>
                <w:p>
                  <w:pPr>
                    <w:pStyle w:val="72"/>
                    <w:rPr>
                      <w:rFonts w:ascii="Times New Roman" w:hAnsi="Times New Roman"/>
                      <w:color w:val="auto"/>
                    </w:rPr>
                  </w:pPr>
                  <w:r>
                    <w:rPr>
                      <w:rFonts w:ascii="Times New Roman" w:hAnsi="Times New Roman"/>
                      <w:color w:val="auto"/>
                    </w:rPr>
                    <w:t>污染类型</w:t>
                  </w:r>
                </w:p>
              </w:tc>
              <w:tc>
                <w:tcPr>
                  <w:tcW w:w="1349" w:type="dxa"/>
                  <w:noWrap w:val="0"/>
                  <w:vAlign w:val="center"/>
                </w:tcPr>
                <w:p>
                  <w:pPr>
                    <w:pStyle w:val="72"/>
                    <w:rPr>
                      <w:rFonts w:ascii="Times New Roman" w:hAnsi="Times New Roman"/>
                      <w:color w:val="auto"/>
                    </w:rPr>
                  </w:pPr>
                  <w:r>
                    <w:rPr>
                      <w:rFonts w:ascii="Times New Roman" w:hAnsi="Times New Roman"/>
                      <w:color w:val="auto"/>
                    </w:rPr>
                    <w:t>污染物</w:t>
                  </w:r>
                </w:p>
              </w:tc>
              <w:tc>
                <w:tcPr>
                  <w:tcW w:w="3271" w:type="dxa"/>
                  <w:noWrap w:val="0"/>
                  <w:vAlign w:val="center"/>
                </w:tcPr>
                <w:p>
                  <w:pPr>
                    <w:pStyle w:val="72"/>
                    <w:rPr>
                      <w:rFonts w:ascii="Times New Roman" w:hAnsi="Times New Roman"/>
                      <w:color w:val="auto"/>
                    </w:rPr>
                  </w:pPr>
                  <w:r>
                    <w:rPr>
                      <w:rFonts w:ascii="Times New Roman" w:hAnsi="Times New Roman"/>
                      <w:color w:val="auto"/>
                    </w:rPr>
                    <w:t>污染因子</w:t>
                  </w:r>
                </w:p>
              </w:tc>
              <w:tc>
                <w:tcPr>
                  <w:tcW w:w="2421" w:type="dxa"/>
                  <w:noWrap w:val="0"/>
                  <w:vAlign w:val="center"/>
                </w:tcPr>
                <w:p>
                  <w:pPr>
                    <w:pStyle w:val="72"/>
                    <w:rPr>
                      <w:rFonts w:ascii="Times New Roman" w:hAnsi="Times New Roman"/>
                      <w:color w:val="auto"/>
                    </w:rPr>
                  </w:pPr>
                  <w:r>
                    <w:rPr>
                      <w:rFonts w:ascii="Times New Roman" w:hAnsi="Times New Roman"/>
                      <w:color w:val="auto"/>
                    </w:rPr>
                    <w:t>产污节点（工序）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noWrap w:val="0"/>
                  <w:vAlign w:val="center"/>
                </w:tcPr>
                <w:p>
                  <w:pPr>
                    <w:pStyle w:val="72"/>
                    <w:rPr>
                      <w:rFonts w:ascii="Times New Roman" w:hAnsi="Times New Roman"/>
                      <w:color w:val="auto"/>
                    </w:rPr>
                  </w:pPr>
                  <w:r>
                    <w:rPr>
                      <w:rFonts w:ascii="Times New Roman" w:hAnsi="Times New Roman"/>
                      <w:color w:val="auto"/>
                    </w:rPr>
                    <w:t>废气</w:t>
                  </w:r>
                </w:p>
              </w:tc>
              <w:tc>
                <w:tcPr>
                  <w:tcW w:w="1349" w:type="dxa"/>
                  <w:noWrap w:val="0"/>
                  <w:vAlign w:val="center"/>
                </w:tcPr>
                <w:p>
                  <w:pPr>
                    <w:pStyle w:val="72"/>
                    <w:rPr>
                      <w:rFonts w:ascii="Times New Roman" w:hAnsi="Times New Roman"/>
                      <w:color w:val="auto"/>
                    </w:rPr>
                  </w:pPr>
                  <w:r>
                    <w:rPr>
                      <w:rFonts w:ascii="Times New Roman" w:hAnsi="Times New Roman"/>
                      <w:color w:val="auto"/>
                    </w:rPr>
                    <w:t>锅炉烟气</w:t>
                  </w:r>
                </w:p>
              </w:tc>
              <w:tc>
                <w:tcPr>
                  <w:tcW w:w="3271" w:type="dxa"/>
                  <w:noWrap w:val="0"/>
                  <w:vAlign w:val="center"/>
                </w:tcPr>
                <w:p>
                  <w:pPr>
                    <w:pStyle w:val="72"/>
                    <w:rPr>
                      <w:rFonts w:hint="eastAsia" w:ascii="Times New Roman" w:hAnsi="Times New Roman" w:eastAsia="宋体"/>
                      <w:color w:val="auto"/>
                      <w:lang w:val="en-US" w:eastAsia="zh-CN"/>
                    </w:rPr>
                  </w:pPr>
                  <w:r>
                    <w:rPr>
                      <w:rFonts w:ascii="Times New Roman" w:hAnsi="Times New Roman"/>
                      <w:color w:val="auto"/>
                    </w:rPr>
                    <w:t>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X</w:t>
                  </w:r>
                  <w:r>
                    <w:rPr>
                      <w:rFonts w:ascii="Times New Roman" w:hAnsi="Times New Roman"/>
                      <w:color w:val="auto"/>
                    </w:rPr>
                    <w:t>、</w:t>
                  </w:r>
                  <w:r>
                    <w:rPr>
                      <w:rFonts w:hint="eastAsia" w:ascii="Times New Roman" w:hAnsi="Times New Roman"/>
                      <w:color w:val="auto"/>
                      <w:lang w:val="en-US" w:eastAsia="zh-CN"/>
                    </w:rPr>
                    <w:t>颗粒物</w:t>
                  </w:r>
                </w:p>
              </w:tc>
              <w:tc>
                <w:tcPr>
                  <w:tcW w:w="2421" w:type="dxa"/>
                  <w:noWrap w:val="0"/>
                  <w:vAlign w:val="center"/>
                </w:tcPr>
                <w:p>
                  <w:pPr>
                    <w:pStyle w:val="72"/>
                    <w:rPr>
                      <w:rFonts w:ascii="Times New Roman" w:hAnsi="Times New Roman"/>
                      <w:color w:val="auto"/>
                    </w:rPr>
                  </w:pPr>
                  <w:r>
                    <w:rPr>
                      <w:rFonts w:ascii="Times New Roman" w:hAnsi="Times New Roman"/>
                      <w:color w:val="auto"/>
                    </w:rPr>
                    <w:t>锅炉运行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restart"/>
                  <w:noWrap w:val="0"/>
                  <w:vAlign w:val="center"/>
                </w:tcPr>
                <w:p>
                  <w:pPr>
                    <w:pStyle w:val="72"/>
                    <w:rPr>
                      <w:rFonts w:ascii="Times New Roman" w:hAnsi="Times New Roman"/>
                      <w:color w:val="auto"/>
                    </w:rPr>
                  </w:pPr>
                  <w:r>
                    <w:rPr>
                      <w:rFonts w:ascii="Times New Roman" w:hAnsi="Times New Roman"/>
                      <w:color w:val="auto"/>
                    </w:rPr>
                    <w:t>废水</w:t>
                  </w:r>
                </w:p>
              </w:tc>
              <w:tc>
                <w:tcPr>
                  <w:tcW w:w="1349" w:type="dxa"/>
                  <w:noWrap w:val="0"/>
                  <w:vAlign w:val="center"/>
                </w:tcPr>
                <w:p>
                  <w:pPr>
                    <w:pStyle w:val="72"/>
                    <w:rPr>
                      <w:rFonts w:ascii="Times New Roman" w:hAnsi="Times New Roman"/>
                      <w:color w:val="auto"/>
                    </w:rPr>
                  </w:pPr>
                  <w:r>
                    <w:rPr>
                      <w:rFonts w:ascii="Times New Roman" w:hAnsi="Times New Roman"/>
                      <w:color w:val="auto"/>
                    </w:rPr>
                    <w:t>生活污水</w:t>
                  </w:r>
                </w:p>
              </w:tc>
              <w:tc>
                <w:tcPr>
                  <w:tcW w:w="3271" w:type="dxa"/>
                  <w:noWrap w:val="0"/>
                  <w:vAlign w:val="center"/>
                </w:tcPr>
                <w:p>
                  <w:pPr>
                    <w:pStyle w:val="72"/>
                    <w:rPr>
                      <w:rFonts w:ascii="Times New Roman" w:hAnsi="Times New Roman"/>
                      <w:color w:val="auto"/>
                    </w:rPr>
                  </w:pPr>
                  <w:r>
                    <w:rPr>
                      <w:rFonts w:ascii="Times New Roman" w:hAnsi="Times New Roman"/>
                      <w:color w:val="auto"/>
                    </w:rPr>
                    <w:t>COD、NH</w:t>
                  </w:r>
                  <w:r>
                    <w:rPr>
                      <w:rFonts w:ascii="Times New Roman" w:hAnsi="Times New Roman"/>
                      <w:color w:val="auto"/>
                      <w:vertAlign w:val="subscript"/>
                    </w:rPr>
                    <w:t>3</w:t>
                  </w:r>
                  <w:r>
                    <w:rPr>
                      <w:rFonts w:ascii="Times New Roman" w:hAnsi="Times New Roman"/>
                      <w:color w:val="auto"/>
                    </w:rPr>
                    <w:t>-N</w:t>
                  </w:r>
                </w:p>
              </w:tc>
              <w:tc>
                <w:tcPr>
                  <w:tcW w:w="2421" w:type="dxa"/>
                  <w:noWrap w:val="0"/>
                  <w:vAlign w:val="center"/>
                </w:tcPr>
                <w:p>
                  <w:pPr>
                    <w:pStyle w:val="72"/>
                    <w:rPr>
                      <w:rFonts w:ascii="Times New Roman" w:hAnsi="Times New Roman"/>
                      <w:color w:val="auto"/>
                    </w:rPr>
                  </w:pPr>
                  <w:r>
                    <w:rPr>
                      <w:rFonts w:ascii="Times New Roman" w:hAnsi="Times New Roman"/>
                      <w:color w:val="auto"/>
                    </w:rPr>
                    <w:t>生活用水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ascii="Times New Roman" w:hAnsi="Times New Roman"/>
                      <w:color w:val="auto"/>
                    </w:rPr>
                  </w:pPr>
                  <w:r>
                    <w:rPr>
                      <w:rFonts w:ascii="Times New Roman" w:hAnsi="Times New Roman"/>
                      <w:color w:val="auto"/>
                    </w:rPr>
                    <w:t>锅炉废水</w:t>
                  </w:r>
                </w:p>
              </w:tc>
              <w:tc>
                <w:tcPr>
                  <w:tcW w:w="3271" w:type="dxa"/>
                  <w:noWrap w:val="0"/>
                  <w:vAlign w:val="center"/>
                </w:tcPr>
                <w:p>
                  <w:pPr>
                    <w:pStyle w:val="72"/>
                    <w:rPr>
                      <w:rFonts w:hint="eastAsia" w:ascii="Times New Roman" w:hAnsi="Times New Roman" w:eastAsia="宋体"/>
                      <w:color w:val="auto"/>
                      <w:lang w:val="en-US" w:eastAsia="zh-CN"/>
                    </w:rPr>
                  </w:pPr>
                  <w:r>
                    <w:rPr>
                      <w:rFonts w:ascii="Times New Roman" w:hAnsi="Times New Roman"/>
                      <w:color w:val="auto"/>
                    </w:rPr>
                    <w:t>COD</w:t>
                  </w:r>
                  <w:r>
                    <w:rPr>
                      <w:rFonts w:hint="eastAsia" w:ascii="Times New Roman" w:hAnsi="Times New Roman"/>
                      <w:color w:val="auto"/>
                    </w:rPr>
                    <w:t>、</w:t>
                  </w:r>
                  <w:r>
                    <w:rPr>
                      <w:rFonts w:hint="eastAsia" w:ascii="Times New Roman" w:hAnsi="Times New Roman"/>
                      <w:color w:val="auto"/>
                      <w:lang w:val="en-US" w:eastAsia="zh-CN"/>
                    </w:rPr>
                    <w:t>全盐量</w:t>
                  </w:r>
                </w:p>
              </w:tc>
              <w:tc>
                <w:tcPr>
                  <w:tcW w:w="2421" w:type="dxa"/>
                  <w:noWrap w:val="0"/>
                  <w:vAlign w:val="center"/>
                </w:tcPr>
                <w:p>
                  <w:pPr>
                    <w:pStyle w:val="72"/>
                    <w:rPr>
                      <w:rFonts w:ascii="Times New Roman" w:hAnsi="Times New Roman"/>
                      <w:color w:val="auto"/>
                    </w:rPr>
                  </w:pPr>
                  <w:r>
                    <w:rPr>
                      <w:rFonts w:ascii="Times New Roman" w:hAnsi="Times New Roman"/>
                      <w:color w:val="auto"/>
                    </w:rPr>
                    <w:t>锅炉运行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noWrap w:val="0"/>
                  <w:vAlign w:val="center"/>
                </w:tcPr>
                <w:p>
                  <w:pPr>
                    <w:pStyle w:val="72"/>
                    <w:rPr>
                      <w:rFonts w:ascii="Times New Roman" w:hAnsi="Times New Roman"/>
                      <w:color w:val="auto"/>
                    </w:rPr>
                  </w:pPr>
                  <w:r>
                    <w:rPr>
                      <w:rFonts w:ascii="Times New Roman" w:hAnsi="Times New Roman"/>
                      <w:color w:val="auto"/>
                    </w:rPr>
                    <w:t>噪声</w:t>
                  </w:r>
                </w:p>
              </w:tc>
              <w:tc>
                <w:tcPr>
                  <w:tcW w:w="1349" w:type="dxa"/>
                  <w:noWrap w:val="0"/>
                  <w:vAlign w:val="center"/>
                </w:tcPr>
                <w:p>
                  <w:pPr>
                    <w:pStyle w:val="72"/>
                    <w:rPr>
                      <w:rFonts w:ascii="Times New Roman" w:hAnsi="Times New Roman"/>
                      <w:color w:val="auto"/>
                    </w:rPr>
                  </w:pPr>
                  <w:r>
                    <w:rPr>
                      <w:rFonts w:ascii="Times New Roman" w:hAnsi="Times New Roman"/>
                      <w:color w:val="auto"/>
                    </w:rPr>
                    <w:t>生产噪声</w:t>
                  </w:r>
                </w:p>
              </w:tc>
              <w:tc>
                <w:tcPr>
                  <w:tcW w:w="3271" w:type="dxa"/>
                  <w:noWrap w:val="0"/>
                  <w:vAlign w:val="center"/>
                </w:tcPr>
                <w:p>
                  <w:pPr>
                    <w:pStyle w:val="72"/>
                    <w:rPr>
                      <w:rFonts w:ascii="Times New Roman" w:hAnsi="Times New Roman"/>
                      <w:color w:val="auto"/>
                    </w:rPr>
                  </w:pPr>
                  <w:r>
                    <w:rPr>
                      <w:rFonts w:ascii="Times New Roman" w:hAnsi="Times New Roman"/>
                      <w:color w:val="auto"/>
                    </w:rPr>
                    <w:t>等效连续A声级</w:t>
                  </w:r>
                </w:p>
              </w:tc>
              <w:tc>
                <w:tcPr>
                  <w:tcW w:w="2421" w:type="dxa"/>
                  <w:noWrap w:val="0"/>
                  <w:vAlign w:val="center"/>
                </w:tcPr>
                <w:p>
                  <w:pPr>
                    <w:pStyle w:val="72"/>
                    <w:rPr>
                      <w:rFonts w:ascii="Times New Roman" w:hAnsi="Times New Roman"/>
                      <w:color w:val="auto"/>
                    </w:rPr>
                  </w:pPr>
                  <w:r>
                    <w:rPr>
                      <w:rFonts w:ascii="Times New Roman" w:hAnsi="Times New Roman"/>
                      <w:color w:val="auto"/>
                    </w:rPr>
                    <w:t>设备运行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restart"/>
                  <w:noWrap w:val="0"/>
                  <w:vAlign w:val="center"/>
                </w:tcPr>
                <w:p>
                  <w:pPr>
                    <w:pStyle w:val="72"/>
                    <w:rPr>
                      <w:rFonts w:ascii="Times New Roman" w:hAnsi="Times New Roman"/>
                      <w:color w:val="auto"/>
                    </w:rPr>
                  </w:pPr>
                  <w:r>
                    <w:rPr>
                      <w:rFonts w:ascii="Times New Roman" w:hAnsi="Times New Roman"/>
                      <w:color w:val="auto"/>
                    </w:rPr>
                    <w:t>固废</w:t>
                  </w:r>
                </w:p>
              </w:tc>
              <w:tc>
                <w:tcPr>
                  <w:tcW w:w="1349" w:type="dxa"/>
                  <w:noWrap w:val="0"/>
                  <w:vAlign w:val="center"/>
                </w:tcPr>
                <w:p>
                  <w:pPr>
                    <w:pStyle w:val="72"/>
                    <w:rPr>
                      <w:rFonts w:ascii="Times New Roman" w:hAnsi="Times New Roman"/>
                      <w:color w:val="auto"/>
                    </w:rPr>
                  </w:pPr>
                  <w:r>
                    <w:rPr>
                      <w:rFonts w:ascii="Times New Roman" w:hAnsi="Times New Roman"/>
                      <w:color w:val="auto"/>
                    </w:rPr>
                    <w:t>生活垃圾</w:t>
                  </w:r>
                </w:p>
              </w:tc>
              <w:tc>
                <w:tcPr>
                  <w:tcW w:w="3271" w:type="dxa"/>
                  <w:noWrap w:val="0"/>
                  <w:vAlign w:val="center"/>
                </w:tcPr>
                <w:p>
                  <w:pPr>
                    <w:pStyle w:val="72"/>
                    <w:rPr>
                      <w:rFonts w:ascii="Times New Roman" w:hAnsi="Times New Roman"/>
                      <w:color w:val="auto"/>
                    </w:rPr>
                  </w:pPr>
                  <w:r>
                    <w:rPr>
                      <w:rFonts w:ascii="Times New Roman" w:hAnsi="Times New Roman"/>
                      <w:color w:val="auto"/>
                    </w:rPr>
                    <w:t>生活垃圾</w:t>
                  </w:r>
                </w:p>
              </w:tc>
              <w:tc>
                <w:tcPr>
                  <w:tcW w:w="2421" w:type="dxa"/>
                  <w:noWrap w:val="0"/>
                  <w:vAlign w:val="center"/>
                </w:tcPr>
                <w:p>
                  <w:pPr>
                    <w:pStyle w:val="72"/>
                    <w:rPr>
                      <w:rFonts w:ascii="Times New Roman" w:hAnsi="Times New Roman"/>
                      <w:color w:val="auto"/>
                    </w:rPr>
                  </w:pPr>
                  <w:r>
                    <w:rPr>
                      <w:rFonts w:hint="eastAsia" w:ascii="Times New Roman" w:hAnsi="Times New Roman"/>
                      <w:color w:val="auto"/>
                    </w:rPr>
                    <w:t>日常生活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default" w:ascii="Times New Roman" w:hAnsi="Times New Roman" w:eastAsia="宋体"/>
                      <w:color w:val="auto"/>
                      <w:lang w:val="en-US" w:eastAsia="zh-CN"/>
                    </w:rPr>
                  </w:pPr>
                  <w:r>
                    <w:rPr>
                      <w:rFonts w:hint="eastAsia" w:ascii="Times New Roman" w:hAnsi="Times New Roman"/>
                      <w:color w:val="auto"/>
                      <w:lang w:val="en-US" w:eastAsia="zh-CN"/>
                    </w:rPr>
                    <w:t>除尘灰及灰渣</w:t>
                  </w:r>
                </w:p>
              </w:tc>
              <w:tc>
                <w:tcPr>
                  <w:tcW w:w="3271" w:type="dxa"/>
                  <w:noWrap w:val="0"/>
                  <w:vAlign w:val="center"/>
                </w:tcPr>
                <w:p>
                  <w:pPr>
                    <w:pStyle w:val="72"/>
                    <w:rPr>
                      <w:rFonts w:ascii="Times New Roman" w:hAnsi="Times New Roman"/>
                      <w:color w:val="auto"/>
                    </w:rPr>
                  </w:pPr>
                  <w:r>
                    <w:rPr>
                      <w:rFonts w:hint="eastAsia" w:ascii="Times New Roman" w:hAnsi="Times New Roman"/>
                      <w:color w:val="auto"/>
                      <w:lang w:val="en-US" w:eastAsia="zh-CN"/>
                    </w:rPr>
                    <w:t>除尘灰及灰渣</w:t>
                  </w:r>
                </w:p>
              </w:tc>
              <w:tc>
                <w:tcPr>
                  <w:tcW w:w="2421" w:type="dxa"/>
                  <w:noWrap w:val="0"/>
                  <w:vAlign w:val="center"/>
                </w:tcPr>
                <w:p>
                  <w:pPr>
                    <w:pStyle w:val="72"/>
                    <w:rPr>
                      <w:rFonts w:hint="eastAsia" w:ascii="Times New Roman" w:hAnsi="Times New Roman" w:eastAsia="宋体"/>
                      <w:color w:val="auto"/>
                      <w:lang w:val="en-US" w:eastAsia="zh-CN"/>
                    </w:rPr>
                  </w:pPr>
                  <w:r>
                    <w:rPr>
                      <w:rFonts w:hint="eastAsia" w:ascii="Times New Roman" w:hAnsi="Times New Roman"/>
                      <w:color w:val="auto"/>
                      <w:lang w:val="en-US" w:eastAsia="zh-CN"/>
                    </w:rPr>
                    <w:t>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污泥</w:t>
                  </w:r>
                </w:p>
              </w:tc>
              <w:tc>
                <w:tcPr>
                  <w:tcW w:w="3271"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污泥</w:t>
                  </w:r>
                </w:p>
              </w:tc>
              <w:tc>
                <w:tcPr>
                  <w:tcW w:w="2421"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废离子交换树脂</w:t>
                  </w:r>
                </w:p>
              </w:tc>
              <w:tc>
                <w:tcPr>
                  <w:tcW w:w="3271" w:type="dxa"/>
                  <w:shd w:val="clear" w:color="auto" w:fill="auto"/>
                  <w:noWrap w:val="0"/>
                  <w:vAlign w:val="center"/>
                </w:tcPr>
                <w:p>
                  <w:pPr>
                    <w:pStyle w:val="72"/>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lang w:val="en-US" w:eastAsia="zh-CN"/>
                    </w:rPr>
                    <w:t>废离子交换树脂</w:t>
                  </w:r>
                </w:p>
              </w:tc>
              <w:tc>
                <w:tcPr>
                  <w:tcW w:w="2421"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软化水处理装置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eastAsia" w:ascii="Times New Roman" w:hAnsi="Times New Roman" w:eastAsia="宋体"/>
                      <w:color w:val="auto"/>
                      <w:lang w:eastAsia="zh-CN"/>
                    </w:rPr>
                  </w:pPr>
                  <w:r>
                    <w:rPr>
                      <w:rFonts w:hint="eastAsia" w:ascii="Times New Roman" w:hAnsi="Times New Roman"/>
                      <w:color w:val="auto"/>
                      <w:lang w:val="en-US" w:eastAsia="zh-CN"/>
                    </w:rPr>
                    <w:t>废布袋</w:t>
                  </w:r>
                </w:p>
              </w:tc>
              <w:tc>
                <w:tcPr>
                  <w:tcW w:w="3271" w:type="dxa"/>
                  <w:noWrap w:val="0"/>
                  <w:vAlign w:val="center"/>
                </w:tcPr>
                <w:p>
                  <w:pPr>
                    <w:pStyle w:val="72"/>
                    <w:rPr>
                      <w:rFonts w:ascii="Times New Roman" w:hAnsi="Times New Roman"/>
                      <w:color w:val="auto"/>
                    </w:rPr>
                  </w:pPr>
                  <w:r>
                    <w:rPr>
                      <w:rFonts w:hint="eastAsia" w:ascii="Times New Roman" w:hAnsi="Times New Roman"/>
                      <w:color w:val="auto"/>
                      <w:lang w:val="en-US" w:eastAsia="zh-CN"/>
                    </w:rPr>
                    <w:t>废布袋</w:t>
                  </w:r>
                </w:p>
              </w:tc>
              <w:tc>
                <w:tcPr>
                  <w:tcW w:w="2421" w:type="dxa"/>
                  <w:noWrap w:val="0"/>
                  <w:vAlign w:val="center"/>
                </w:tcPr>
                <w:p>
                  <w:pPr>
                    <w:pStyle w:val="72"/>
                    <w:rPr>
                      <w:rFonts w:hint="eastAsia" w:ascii="Times New Roman" w:hAnsi="Times New Roman"/>
                      <w:color w:val="auto"/>
                    </w:rPr>
                  </w:pPr>
                  <w:r>
                    <w:rPr>
                      <w:rFonts w:hint="eastAsia" w:ascii="Times New Roman" w:hAnsi="Times New Roman"/>
                      <w:color w:val="auto"/>
                      <w:lang w:val="en-US" w:eastAsia="zh-CN"/>
                    </w:rPr>
                    <w:t>锅炉</w:t>
                  </w:r>
                </w:p>
              </w:tc>
            </w:tr>
          </w:tbl>
          <w:p>
            <w:pPr>
              <w:snapToGrid w:val="0"/>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jc w:val="center"/>
        </w:trPr>
        <w:tc>
          <w:tcPr>
            <w:tcW w:w="454" w:type="dxa"/>
            <w:noWrap w:val="0"/>
            <w:vAlign w:val="center"/>
          </w:tcPr>
          <w:p>
            <w:pPr>
              <w:pStyle w:val="27"/>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606" w:type="dxa"/>
            <w:noWrap w:val="0"/>
            <w:vAlign w:val="top"/>
          </w:tcPr>
          <w:p>
            <w:pPr>
              <w:numPr>
                <w:ilvl w:val="0"/>
                <w:numId w:val="0"/>
              </w:numPr>
              <w:snapToGrid w:val="0"/>
              <w:spacing w:line="360" w:lineRule="auto"/>
              <w:ind w:firstLine="480" w:firstLineChars="200"/>
              <w:rPr>
                <w:rFonts w:hint="eastAsia"/>
                <w:color w:val="auto"/>
                <w:sz w:val="24"/>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olor w:val="auto"/>
                <w:sz w:val="24"/>
                <w:lang w:val="en-US" w:eastAsia="zh-CN"/>
              </w:rPr>
              <w:t>原有项目情况</w:t>
            </w:r>
          </w:p>
          <w:p>
            <w:pPr>
              <w:numPr>
                <w:ilvl w:val="0"/>
                <w:numId w:val="0"/>
              </w:numPr>
              <w:snapToGrid w:val="0"/>
              <w:spacing w:line="360" w:lineRule="auto"/>
              <w:ind w:firstLine="480" w:firstLineChars="200"/>
              <w:rPr>
                <w:rFonts w:hint="default" w:eastAsia="宋体"/>
                <w:color w:val="auto"/>
                <w:sz w:val="24"/>
                <w:lang w:val="en-US" w:eastAsia="zh-CN"/>
              </w:rPr>
            </w:pPr>
            <w:r>
              <w:rPr>
                <w:color w:val="auto"/>
                <w:sz w:val="24"/>
              </w:rPr>
              <w:t>本项目</w:t>
            </w:r>
            <w:r>
              <w:rPr>
                <w:rFonts w:hint="eastAsia"/>
                <w:color w:val="auto"/>
                <w:sz w:val="24"/>
                <w:lang w:val="en-US" w:eastAsia="zh-CN"/>
              </w:rPr>
              <w:t>原有占地约4300平方米，</w:t>
            </w:r>
            <w:r>
              <w:rPr>
                <w:color w:val="auto"/>
                <w:sz w:val="24"/>
              </w:rPr>
              <w:t>原有</w:t>
            </w:r>
            <w:r>
              <w:rPr>
                <w:rFonts w:hint="eastAsia"/>
                <w:color w:val="auto"/>
                <w:sz w:val="24"/>
                <w:lang w:val="en-US" w:eastAsia="zh-CN"/>
              </w:rPr>
              <w:t>供暖采用一台0.7MW燃煤热水锅炉，锅炉建成于2019年，未办理环评手续，该项目建成已超过2年，未被处罚</w:t>
            </w:r>
            <w:r>
              <w:rPr>
                <w:color w:val="auto"/>
                <w:sz w:val="24"/>
              </w:rPr>
              <w:t>。</w:t>
            </w:r>
            <w:r>
              <w:rPr>
                <w:rFonts w:hint="eastAsia"/>
                <w:color w:val="auto"/>
                <w:sz w:val="24"/>
                <w:lang w:val="en-US" w:eastAsia="zh-CN"/>
              </w:rPr>
              <w:t>原有锅炉配备低氮燃烧技术锅炉废气经布袋除尘器+15m高排气筒排放。</w:t>
            </w:r>
          </w:p>
          <w:p>
            <w:pPr>
              <w:snapToGrid w:val="0"/>
              <w:spacing w:line="360" w:lineRule="auto"/>
              <w:ind w:firstLine="480" w:firstLineChars="200"/>
              <w:rPr>
                <w:rFonts w:hint="eastAsia"/>
                <w:color w:val="auto"/>
                <w:sz w:val="24"/>
                <w:lang w:val="en-US" w:eastAsia="zh-CN"/>
              </w:rPr>
            </w:pPr>
            <w:r>
              <w:rPr>
                <w:rFonts w:hint="eastAsia"/>
                <w:color w:val="auto"/>
                <w:sz w:val="24"/>
                <w:lang w:val="en-US" w:eastAsia="zh-CN"/>
              </w:rPr>
              <w:t>因现有工程未进行环境检测，现有工程排放情况采用</w:t>
            </w:r>
            <w:r>
              <w:rPr>
                <w:color w:val="auto"/>
                <w:sz w:val="24"/>
                <w:szCs w:val="32"/>
              </w:rPr>
              <w:t>《污染源源强核算技术指南 锅炉》（HJ</w:t>
            </w:r>
            <w:r>
              <w:rPr>
                <w:rFonts w:hint="eastAsia"/>
                <w:color w:val="auto"/>
                <w:sz w:val="24"/>
                <w:szCs w:val="32"/>
                <w:lang w:val="en-US" w:eastAsia="zh-CN"/>
              </w:rPr>
              <w:t>991</w:t>
            </w:r>
            <w:r>
              <w:rPr>
                <w:color w:val="auto"/>
                <w:sz w:val="24"/>
                <w:szCs w:val="32"/>
              </w:rPr>
              <w:t>-2018）</w:t>
            </w:r>
            <w:r>
              <w:rPr>
                <w:rFonts w:hint="eastAsia"/>
                <w:color w:val="auto"/>
                <w:sz w:val="24"/>
                <w:szCs w:val="32"/>
              </w:rPr>
              <w:t>物料衡算法计算源强。</w:t>
            </w:r>
          </w:p>
          <w:p>
            <w:pPr>
              <w:snapToGrid w:val="0"/>
              <w:spacing w:line="360" w:lineRule="auto"/>
              <w:ind w:firstLine="480" w:firstLineChars="200"/>
              <w:rPr>
                <w:rFonts w:hint="default"/>
                <w:color w:val="auto"/>
                <w:sz w:val="24"/>
                <w:lang w:val="en-US" w:eastAsia="zh-CN"/>
              </w:rPr>
            </w:pPr>
            <w:r>
              <w:rPr>
                <w:rFonts w:hint="eastAsia"/>
                <w:color w:val="auto"/>
                <w:sz w:val="24"/>
                <w:lang w:val="en-US" w:eastAsia="zh-CN"/>
              </w:rPr>
              <w:t>2、污染物排放情况</w:t>
            </w:r>
          </w:p>
          <w:p>
            <w:pPr>
              <w:snapToGrid w:val="0"/>
              <w:spacing w:line="360" w:lineRule="auto"/>
              <w:ind w:firstLine="480" w:firstLineChars="200"/>
              <w:rPr>
                <w:rFonts w:hint="default"/>
                <w:color w:val="auto"/>
                <w:sz w:val="24"/>
                <w:lang w:val="en-US" w:eastAsia="zh-CN"/>
              </w:rPr>
            </w:pPr>
            <w:r>
              <w:rPr>
                <w:rFonts w:hint="eastAsia"/>
                <w:color w:val="auto"/>
                <w:sz w:val="24"/>
                <w:lang w:val="en-US" w:eastAsia="zh-CN"/>
              </w:rPr>
              <w:t>一、废气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煤</w:t>
            </w:r>
            <w:r>
              <w:rPr>
                <w:rFonts w:hint="eastAsia" w:cs="Times New Roman"/>
                <w:color w:val="auto"/>
                <w:kern w:val="0"/>
                <w:sz w:val="24"/>
                <w:szCs w:val="24"/>
                <w:lang w:val="en-US" w:eastAsia="zh-CN"/>
              </w:rPr>
              <w:t>原料</w:t>
            </w:r>
            <w:r>
              <w:rPr>
                <w:rFonts w:hint="default" w:ascii="Times New Roman" w:hAnsi="Times New Roman" w:eastAsia="宋体" w:cs="Times New Roman"/>
                <w:color w:val="auto"/>
                <w:kern w:val="0"/>
                <w:sz w:val="24"/>
                <w:szCs w:val="24"/>
                <w:lang w:val="en-US" w:eastAsia="zh-CN"/>
              </w:rPr>
              <w:t>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color w:val="auto"/>
                <w:sz w:val="24"/>
                <w:lang w:val="en-US" w:eastAsia="zh-CN"/>
              </w:rPr>
              <w:t>燃料量以锅炉最大运行负荷计算，</w:t>
            </w:r>
            <w:r>
              <w:rPr>
                <w:rFonts w:hint="eastAsia" w:ascii="Times New Roman" w:hAnsi="宋体" w:eastAsia="宋体" w:cs="Times New Roman"/>
                <w:color w:val="auto"/>
                <w:sz w:val="24"/>
                <w:highlight w:val="none"/>
                <w:lang w:val="en-US" w:eastAsia="zh-CN"/>
              </w:rPr>
              <w:t>根据煤燃料分析报告，燃料低位发热量为4462kcal/kg，18.669MJ/kg，锅炉热效率按90%计算，故煤燃料量计算如下</w:t>
            </w:r>
            <w:r>
              <w:rPr>
                <w:rFonts w:hint="eastAsia" w:ascii="Times New Roman" w:hAnsi="Times New Roman" w:eastAsia="宋体" w:cs="Times New Roman"/>
                <w:color w:val="auto"/>
                <w:kern w:val="0"/>
                <w:sz w:val="24"/>
                <w:szCs w:val="24"/>
                <w:lang w:val="en-US" w:eastAsia="zh-CN"/>
              </w:rPr>
              <w:t>。</w:t>
            </w:r>
          </w:p>
          <w:p>
            <w:pPr>
              <w:pStyle w:val="2"/>
              <w:rPr>
                <w:rFonts w:hint="eastAsia" w:ascii="Times New Roman" w:hAnsi="宋体" w:eastAsia="宋体" w:cs="Times New Roman"/>
                <w:color w:val="auto"/>
                <w:position w:val="-26"/>
                <w:sz w:val="24"/>
                <w:highlight w:val="none"/>
                <w:lang w:val="en-US" w:eastAsia="zh-CN"/>
              </w:rPr>
            </w:pPr>
            <w:bookmarkStart w:id="23" w:name="_Toc8778"/>
            <w:r>
              <w:rPr>
                <w:rFonts w:hint="eastAsia" w:ascii="Times New Roman" w:hAnsi="宋体" w:eastAsia="宋体" w:cs="Times New Roman"/>
                <w:color w:val="auto"/>
                <w:position w:val="-26"/>
                <w:sz w:val="24"/>
                <w:highlight w:val="none"/>
                <w:lang w:val="en-US" w:eastAsia="zh-CN"/>
              </w:rPr>
              <w:object>
                <v:shape id="_x0000_i1026" o:spt="75" type="#_x0000_t75" style="height:33pt;width:357pt;" o:ole="t" filled="f" o:preferrelative="t" stroked="f" coordsize="21600,21600">
                  <v:path/>
                  <v:fill on="f" focussize="0,0"/>
                  <v:stroke on="f"/>
                  <v:imagedata r:id="rId17" o:title=""/>
                  <o:lock v:ext="edit" aspectratio="t"/>
                  <w10:wrap type="none"/>
                  <w10:anchorlock/>
                </v:shape>
                <o:OLEObject Type="Embed" ProgID="Equation.KSEE3" ShapeID="_x0000_i1026" DrawAspect="Content" ObjectID="_1468075726" r:id="rId16">
                  <o:LockedField>false</o:LockedField>
                </o:OLEObject>
              </w:object>
            </w:r>
            <w:bookmarkEnd w:id="23"/>
          </w:p>
          <w:p>
            <w:pPr>
              <w:spacing w:line="360" w:lineRule="auto"/>
              <w:ind w:firstLine="480" w:firstLineChars="200"/>
              <w:rPr>
                <w:rFonts w:hint="default" w:eastAsia="宋体"/>
                <w:color w:val="auto"/>
                <w:sz w:val="24"/>
                <w:lang w:val="en-US" w:eastAsia="zh-CN"/>
              </w:rPr>
            </w:pPr>
            <w:r>
              <w:rPr>
                <w:rFonts w:hint="eastAsia" w:ascii="Times New Roman" w:hAnsi="宋体" w:eastAsia="宋体" w:cs="Times New Roman"/>
                <w:color w:val="auto"/>
                <w:sz w:val="24"/>
                <w:highlight w:val="none"/>
                <w:lang w:val="en-US" w:eastAsia="zh-CN"/>
              </w:rPr>
              <w:t>本项目燃煤燃烧量为</w:t>
            </w:r>
            <w:r>
              <w:rPr>
                <w:rFonts w:hint="eastAsia" w:hAnsi="宋体" w:cs="Times New Roman"/>
                <w:color w:val="auto"/>
                <w:sz w:val="24"/>
                <w:highlight w:val="none"/>
                <w:lang w:val="en-US" w:eastAsia="zh-CN"/>
              </w:rPr>
              <w:t>756</w:t>
            </w:r>
            <w:r>
              <w:rPr>
                <w:rFonts w:hint="eastAsia" w:ascii="Times New Roman" w:hAnsi="宋体" w:eastAsia="宋体" w:cs="Times New Roman"/>
                <w:color w:val="auto"/>
                <w:sz w:val="24"/>
                <w:highlight w:val="none"/>
                <w:lang w:val="en-US" w:eastAsia="zh-CN"/>
              </w:rPr>
              <w:t>t/a</w:t>
            </w:r>
            <w:r>
              <w:rPr>
                <w:color w:val="auto"/>
                <w:sz w:val="24"/>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a）烟气量按下式计算</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anchor distT="0" distB="0" distL="114300" distR="114300" simplePos="0" relativeHeight="251678720" behindDoc="0" locked="0" layoutInCell="1" allowOverlap="1">
                  <wp:simplePos x="0" y="0"/>
                  <wp:positionH relativeFrom="column">
                    <wp:posOffset>1160780</wp:posOffset>
                  </wp:positionH>
                  <wp:positionV relativeFrom="paragraph">
                    <wp:posOffset>533400</wp:posOffset>
                  </wp:positionV>
                  <wp:extent cx="2705100" cy="800100"/>
                  <wp:effectExtent l="0" t="0" r="0" b="0"/>
                  <wp:wrapNone/>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18" cstate="print"/>
                          <a:stretch>
                            <a:fillRect/>
                          </a:stretch>
                        </pic:blipFill>
                        <pic:spPr>
                          <a:xfrm>
                            <a:off x="0" y="0"/>
                            <a:ext cx="2705100" cy="800100"/>
                          </a:xfrm>
                          <a:prstGeom prst="rect">
                            <a:avLst/>
                          </a:prstGeom>
                          <a:noFill/>
                          <a:ln>
                            <a:noFill/>
                          </a:ln>
                        </pic:spPr>
                      </pic:pic>
                    </a:graphicData>
                  </a:graphic>
                </wp:anchor>
              </w:drawing>
            </w:r>
            <w:r>
              <w:rPr>
                <w:rFonts w:hint="default" w:ascii="Times New Roman" w:hAnsi="Times New Roman" w:eastAsia="宋体" w:cs="Times New Roman"/>
                <w:sz w:val="24"/>
                <w:szCs w:val="24"/>
              </w:rPr>
              <w:t>烟气量的计算采用《污染源源强核算技术指南 锅炉》（HJ991-2018）中附录C.4中经验公式计算，本项目V</w:t>
            </w:r>
            <w:r>
              <w:rPr>
                <w:rFonts w:hint="default" w:ascii="Times New Roman" w:hAnsi="Times New Roman" w:eastAsia="宋体" w:cs="Times New Roman"/>
                <w:sz w:val="24"/>
                <w:szCs w:val="24"/>
                <w:vertAlign w:val="subscript"/>
              </w:rPr>
              <w:t>daf</w:t>
            </w:r>
            <w:r>
              <w:rPr>
                <w:rFonts w:hint="default" w:ascii="Times New Roman" w:hAnsi="Times New Roman" w:eastAsia="宋体" w:cs="Times New Roman"/>
                <w:sz w:val="24"/>
                <w:szCs w:val="24"/>
              </w:rPr>
              <w:t>为39.66%≥15%，故采用下式进行计算：</w:t>
            </w: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sz w:val="24"/>
                <w:szCs w:val="24"/>
              </w:rPr>
            </w:pP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式中：V</w:t>
            </w:r>
            <w:r>
              <w:rPr>
                <w:rFonts w:hint="default" w:ascii="Times New Roman" w:hAnsi="Times New Roman" w:eastAsia="宋体" w:cs="Times New Roman"/>
                <w:sz w:val="24"/>
                <w:szCs w:val="24"/>
                <w:vertAlign w:val="subscript"/>
              </w:rPr>
              <w:t>daf</w:t>
            </w:r>
            <w:r>
              <w:rPr>
                <w:rFonts w:hint="default" w:ascii="Times New Roman" w:hAnsi="Times New Roman" w:eastAsia="宋体" w:cs="Times New Roman"/>
                <w:sz w:val="24"/>
                <w:szCs w:val="24"/>
              </w:rPr>
              <w:t>—干燥无灰基挥发份的质量分数，%，39.66</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V</w:t>
            </w:r>
            <w:r>
              <w:rPr>
                <w:rFonts w:hint="default" w:ascii="Times New Roman" w:hAnsi="Times New Roman" w:eastAsia="宋体" w:cs="Times New Roman"/>
                <w:sz w:val="24"/>
                <w:szCs w:val="24"/>
                <w:vertAlign w:val="subscript"/>
              </w:rPr>
              <w:t>0</w:t>
            </w:r>
            <w:r>
              <w:rPr>
                <w:rFonts w:hint="default" w:ascii="Times New Roman" w:hAnsi="Times New Roman" w:eastAsia="宋体" w:cs="Times New Roman"/>
                <w:sz w:val="24"/>
                <w:szCs w:val="24"/>
              </w:rPr>
              <w:t>—理论空气量，m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/kg</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Q</w:t>
            </w:r>
            <w:r>
              <w:rPr>
                <w:rFonts w:hint="default" w:ascii="Times New Roman" w:hAnsi="Times New Roman" w:eastAsia="宋体" w:cs="Times New Roman"/>
                <w:sz w:val="24"/>
                <w:szCs w:val="24"/>
                <w:vertAlign w:val="subscript"/>
              </w:rPr>
              <w:t>net,ar</w:t>
            </w:r>
            <w:r>
              <w:rPr>
                <w:rFonts w:hint="default" w:ascii="Times New Roman" w:hAnsi="Times New Roman" w:eastAsia="宋体" w:cs="Times New Roman"/>
                <w:sz w:val="24"/>
                <w:szCs w:val="24"/>
              </w:rPr>
              <w:t>—收到基低位发热量，KJ/kg，186</w:t>
            </w:r>
            <w:r>
              <w:rPr>
                <w:rFonts w:hint="eastAsia" w:ascii="Times New Roman" w:hAnsi="Times New Roman" w:eastAsia="宋体" w:cs="Times New Roman"/>
                <w:sz w:val="24"/>
                <w:szCs w:val="24"/>
                <w:lang w:val="en-US" w:eastAsia="zh-CN"/>
              </w:rPr>
              <w:t>69</w:t>
            </w:r>
            <w:r>
              <w:rPr>
                <w:rFonts w:hint="default" w:ascii="Times New Roman" w:hAnsi="Times New Roman" w:eastAsia="宋体" w:cs="Times New Roman"/>
                <w:sz w:val="24"/>
                <w:szCs w:val="24"/>
              </w:rPr>
              <w:t>KJ/kg</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V</w:t>
            </w:r>
            <w:r>
              <w:rPr>
                <w:rFonts w:hint="default" w:ascii="Times New Roman" w:hAnsi="Times New Roman" w:eastAsia="宋体" w:cs="Times New Roman"/>
                <w:sz w:val="24"/>
                <w:szCs w:val="24"/>
                <w:vertAlign w:val="subscript"/>
              </w:rPr>
              <w:t>s</w:t>
            </w:r>
            <w:r>
              <w:rPr>
                <w:rFonts w:hint="default" w:ascii="Times New Roman" w:hAnsi="Times New Roman" w:eastAsia="宋体" w:cs="Times New Roman"/>
                <w:sz w:val="24"/>
                <w:szCs w:val="24"/>
              </w:rPr>
              <w:t>—湿烟气排放量，m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/kg</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α—过剩空气系数，根据《污染源源强核算技术指南 锅炉》附录C 燃煤锅炉过剩空气系数取1.75。</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rPr>
              <w:t>经计算得，V</w:t>
            </w:r>
            <w:r>
              <w:rPr>
                <w:rFonts w:hint="default" w:ascii="Times New Roman" w:hAnsi="Times New Roman" w:eastAsia="宋体" w:cs="Times New Roman"/>
                <w:sz w:val="24"/>
                <w:szCs w:val="24"/>
                <w:vertAlign w:val="subscript"/>
              </w:rPr>
              <w:t>0</w:t>
            </w:r>
            <w:r>
              <w:rPr>
                <w:rFonts w:hint="default" w:ascii="Times New Roman" w:hAnsi="Times New Roman" w:eastAsia="宋体" w:cs="Times New Roman"/>
                <w:sz w:val="24"/>
                <w:szCs w:val="24"/>
              </w:rPr>
              <w:t>为4.9</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/kg，Vs为9.18m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/kg。</w:t>
            </w:r>
          </w:p>
          <w:p>
            <w:pPr>
              <w:spacing w:line="440" w:lineRule="exact"/>
              <w:ind w:firstLine="480" w:firstLineChars="200"/>
              <w:rPr>
                <w:color w:val="auto"/>
                <w:sz w:val="24"/>
              </w:rPr>
            </w:pPr>
            <w:r>
              <w:rPr>
                <w:color w:val="auto"/>
                <w:sz w:val="24"/>
              </w:rPr>
              <w:t>本项目锅炉燃料耗量为</w:t>
            </w:r>
            <w:r>
              <w:rPr>
                <w:rFonts w:hint="eastAsia"/>
                <w:color w:val="auto"/>
                <w:sz w:val="24"/>
                <w:lang w:val="en-US" w:eastAsia="zh-CN"/>
              </w:rPr>
              <w:t>756t/a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6940080</w:t>
            </w:r>
            <w:r>
              <w:rPr>
                <w:color w:val="auto"/>
                <w:sz w:val="24"/>
              </w:rPr>
              <w:t>Nm</w:t>
            </w:r>
            <w:r>
              <w:rPr>
                <w:color w:val="auto"/>
                <w:sz w:val="24"/>
                <w:vertAlign w:val="superscript"/>
              </w:rPr>
              <w:t>3</w:t>
            </w:r>
            <w:r>
              <w:rPr>
                <w:color w:val="auto"/>
                <w:sz w:val="24"/>
              </w:rPr>
              <w:t>。</w:t>
            </w:r>
          </w:p>
          <w:p>
            <w:pPr>
              <w:spacing w:line="440" w:lineRule="exact"/>
              <w:ind w:firstLine="420" w:firstLineChars="200"/>
              <w:rPr>
                <w:color w:val="auto"/>
                <w:sz w:val="24"/>
              </w:rPr>
            </w:pPr>
            <w:r>
              <w:rPr>
                <w:color w:val="auto"/>
              </w:rPr>
              <w:drawing>
                <wp:anchor distT="0" distB="0" distL="114300" distR="114300" simplePos="0" relativeHeight="251675648" behindDoc="1" locked="0" layoutInCell="1" allowOverlap="1">
                  <wp:simplePos x="0" y="0"/>
                  <wp:positionH relativeFrom="column">
                    <wp:posOffset>368300</wp:posOffset>
                  </wp:positionH>
                  <wp:positionV relativeFrom="paragraph">
                    <wp:posOffset>193040</wp:posOffset>
                  </wp:positionV>
                  <wp:extent cx="2130425" cy="823595"/>
                  <wp:effectExtent l="0" t="0" r="3175" b="14605"/>
                  <wp:wrapNone/>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9"/>
                          <a:srcRect t="-6538" b="-6538"/>
                          <a:stretch>
                            <a:fillRect/>
                          </a:stretch>
                        </pic:blipFill>
                        <pic:spPr>
                          <a:xfrm>
                            <a:off x="0" y="0"/>
                            <a:ext cx="2130425" cy="823595"/>
                          </a:xfrm>
                          <a:prstGeom prst="rect">
                            <a:avLst/>
                          </a:prstGeom>
                          <a:noFill/>
                          <a:ln>
                            <a:noFill/>
                          </a:ln>
                        </pic:spPr>
                      </pic:pic>
                    </a:graphicData>
                  </a:graphic>
                </wp:anchor>
              </w:drawing>
            </w:r>
            <w:r>
              <w:rPr>
                <w:color w:val="auto"/>
                <w:sz w:val="24"/>
              </w:rPr>
              <w:t>b）</w:t>
            </w:r>
            <w:r>
              <w:rPr>
                <w:rFonts w:hint="eastAsia"/>
                <w:color w:val="auto"/>
                <w:sz w:val="24"/>
                <w:lang w:eastAsia="zh-CN"/>
              </w:rPr>
              <w:t>颗粒物</w:t>
            </w:r>
            <w:r>
              <w:rPr>
                <w:color w:val="auto"/>
                <w:sz w:val="24"/>
              </w:rPr>
              <w:t xml:space="preserve">排放量按下式计算  </w:t>
            </w:r>
          </w:p>
          <w:p>
            <w:pPr>
              <w:pStyle w:val="13"/>
            </w:pPr>
          </w:p>
          <w:p>
            <w:pPr>
              <w:spacing w:line="440" w:lineRule="exact"/>
              <w:ind w:firstLine="480" w:firstLineChars="200"/>
              <w:rPr>
                <w:color w:val="auto"/>
                <w:sz w:val="24"/>
              </w:rPr>
            </w:pPr>
            <w:r>
              <w:rPr>
                <w:rFonts w:hint="eastAsia"/>
                <w:color w:val="auto"/>
                <w:sz w:val="24"/>
              </w:rPr>
              <w:t xml:space="preserve"> </w:t>
            </w:r>
            <w:r>
              <w:rPr>
                <w:color w:val="auto"/>
                <w:sz w:val="24"/>
              </w:rPr>
              <w:t xml:space="preserve">         </w:t>
            </w:r>
          </w:p>
          <w:p>
            <w:pPr>
              <w:spacing w:line="440" w:lineRule="exact"/>
              <w:ind w:firstLine="480" w:firstLineChars="200"/>
              <w:jc w:val="center"/>
              <w:rPr>
                <w:color w:val="auto"/>
                <w:sz w:val="24"/>
              </w:rPr>
            </w:pPr>
            <w:r>
              <w:rPr>
                <w:rFonts w:hint="eastAsia"/>
                <w:color w:val="auto"/>
                <w:sz w:val="24"/>
              </w:rPr>
              <w:t xml:space="preserve"> </w:t>
            </w:r>
            <w:r>
              <w:rPr>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sz w:val="24"/>
                <w:szCs w:val="24"/>
              </w:rPr>
            </w:pPr>
            <w:r>
              <w:rPr>
                <w:rFonts w:cs="Times New Roman"/>
                <w:sz w:val="24"/>
                <w:szCs w:val="24"/>
              </w:rPr>
              <w:t>式中：E</w:t>
            </w:r>
            <w:r>
              <w:rPr>
                <w:rFonts w:cs="Times New Roman"/>
                <w:sz w:val="24"/>
                <w:szCs w:val="24"/>
                <w:vertAlign w:val="subscript"/>
              </w:rPr>
              <w:t xml:space="preserve">A </w:t>
            </w:r>
            <w:r>
              <w:rPr>
                <w:rFonts w:cs="Times New Roman"/>
                <w:sz w:val="24"/>
                <w:szCs w:val="24"/>
              </w:rPr>
              <w:t>——核算时段内颗粒物排放量，t；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sz w:val="24"/>
                <w:szCs w:val="24"/>
              </w:rPr>
            </w:pPr>
            <w:r>
              <w:rPr>
                <w:rFonts w:cs="Times New Roman"/>
                <w:sz w:val="24"/>
                <w:szCs w:val="24"/>
              </w:rPr>
              <w:t>R——核算时段内锅炉燃料耗量，t，燃煤量为</w:t>
            </w:r>
            <w:r>
              <w:rPr>
                <w:rFonts w:hint="eastAsia" w:cs="Times New Roman"/>
                <w:sz w:val="24"/>
                <w:szCs w:val="24"/>
                <w:lang w:val="en-US" w:eastAsia="zh-CN"/>
              </w:rPr>
              <w:t>756</w:t>
            </w:r>
            <w:r>
              <w:rPr>
                <w:rFonts w:cs="Times New Roman"/>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sz w:val="24"/>
                <w:szCs w:val="24"/>
              </w:rPr>
            </w:pPr>
            <w:r>
              <w:rPr>
                <w:rFonts w:cs="Times New Roman"/>
                <w:sz w:val="24"/>
                <w:szCs w:val="24"/>
              </w:rPr>
              <w:t>η</w:t>
            </w:r>
            <w:r>
              <w:rPr>
                <w:rFonts w:cs="Times New Roman"/>
                <w:sz w:val="24"/>
                <w:szCs w:val="24"/>
                <w:vertAlign w:val="subscript"/>
              </w:rPr>
              <w:t>c</w:t>
            </w:r>
            <w:r>
              <w:rPr>
                <w:rFonts w:cs="Times New Roman"/>
                <w:sz w:val="24"/>
                <w:szCs w:val="24"/>
              </w:rPr>
              <w:t xml:space="preserve"> ——综合除尘效率，%，参照《污染源源强核算技术指南 锅炉》（HJ991-2018）中附录B中表B.6，取99.</w:t>
            </w:r>
            <w:r>
              <w:rPr>
                <w:rFonts w:hint="eastAsia" w:cs="Times New Roman"/>
                <w:sz w:val="24"/>
                <w:szCs w:val="24"/>
                <w:lang w:val="en-US" w:eastAsia="zh-CN"/>
              </w:rPr>
              <w:t>6</w:t>
            </w:r>
            <w:r>
              <w:rPr>
                <w:rFonts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sz w:val="24"/>
                <w:szCs w:val="24"/>
              </w:rPr>
            </w:pPr>
            <w:r>
              <w:rPr>
                <w:rFonts w:cs="Times New Roman"/>
                <w:sz w:val="24"/>
                <w:szCs w:val="24"/>
              </w:rPr>
              <w:t>A</w:t>
            </w:r>
            <w:r>
              <w:rPr>
                <w:rFonts w:cs="Times New Roman"/>
                <w:sz w:val="24"/>
                <w:szCs w:val="24"/>
                <w:vertAlign w:val="subscript"/>
              </w:rPr>
              <w:t xml:space="preserve">ar </w:t>
            </w:r>
            <w:r>
              <w:rPr>
                <w:rFonts w:cs="Times New Roman"/>
                <w:sz w:val="24"/>
                <w:szCs w:val="24"/>
              </w:rPr>
              <w:t>——收到基灰分的质量分数，%，34.21；</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sz w:val="24"/>
                <w:szCs w:val="24"/>
              </w:rPr>
            </w:pPr>
            <w:r>
              <w:rPr>
                <w:rFonts w:cs="Times New Roman"/>
                <w:sz w:val="24"/>
                <w:szCs w:val="24"/>
              </w:rPr>
              <w:t>d</w:t>
            </w:r>
            <w:r>
              <w:rPr>
                <w:rFonts w:cs="Times New Roman"/>
                <w:sz w:val="24"/>
                <w:szCs w:val="24"/>
                <w:vertAlign w:val="subscript"/>
              </w:rPr>
              <w:t>fh</w:t>
            </w:r>
            <w:r>
              <w:rPr>
                <w:rFonts w:cs="Times New Roman"/>
                <w:sz w:val="24"/>
                <w:szCs w:val="24"/>
              </w:rPr>
              <w:t>——锅炉烟气带出的飞灰份额，%，往复炉，参照《污染源源强核算技术指南锅炉》（HJ991-2018）中附录表B.2，取20%；</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sz w:val="24"/>
                <w:szCs w:val="24"/>
              </w:rPr>
            </w:pPr>
            <w:r>
              <w:rPr>
                <w:rFonts w:cs="Times New Roman"/>
                <w:sz w:val="24"/>
                <w:szCs w:val="24"/>
              </w:rPr>
              <w:t>C</w:t>
            </w:r>
            <w:r>
              <w:rPr>
                <w:rFonts w:cs="Times New Roman"/>
                <w:sz w:val="24"/>
                <w:szCs w:val="24"/>
                <w:vertAlign w:val="subscript"/>
              </w:rPr>
              <w:t xml:space="preserve">fh </w:t>
            </w:r>
            <w:r>
              <w:rPr>
                <w:rFonts w:cs="Times New Roman"/>
                <w:sz w:val="24"/>
                <w:szCs w:val="24"/>
              </w:rPr>
              <w:t>——飞灰中可燃物含量，%，飞灰、炉渣中可燃物含量（含碳量）参照《污染源源强核算技术指南 锅炉》（HJ991-2018）中的要求，参照在《工业锅炉经济运行》（GB/T 17954-2007）中限值范围内选取，取12%。</w:t>
            </w:r>
          </w:p>
          <w:p>
            <w:pPr>
              <w:pStyle w:val="13"/>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经</w:t>
            </w:r>
            <w:r>
              <w:rPr>
                <w:rFonts w:hint="eastAsia" w:cs="Times New Roman"/>
                <w:kern w:val="2"/>
                <w:sz w:val="24"/>
                <w:szCs w:val="24"/>
                <w:lang w:val="en-US" w:eastAsia="zh-CN" w:bidi="ar-SA"/>
              </w:rPr>
              <w:t>计算</w:t>
            </w:r>
            <w:r>
              <w:rPr>
                <w:rFonts w:ascii="Times New Roman" w:hAnsi="Times New Roman" w:eastAsia="宋体" w:cs="Times New Roman"/>
                <w:kern w:val="2"/>
                <w:sz w:val="24"/>
                <w:szCs w:val="24"/>
                <w:lang w:val="en-US" w:eastAsia="zh-CN" w:bidi="ar-SA"/>
              </w:rPr>
              <w:t>，颗粒物的排放量为</w:t>
            </w:r>
            <w:r>
              <w:rPr>
                <w:rFonts w:hint="eastAsia" w:ascii="Times New Roman" w:hAnsi="Times New Roman" w:eastAsia="宋体" w:cs="Times New Roman"/>
                <w:kern w:val="2"/>
                <w:sz w:val="24"/>
                <w:szCs w:val="24"/>
                <w:lang w:val="en-US" w:eastAsia="zh-CN" w:bidi="ar-SA"/>
              </w:rPr>
              <w:t>0.</w:t>
            </w:r>
            <w:r>
              <w:rPr>
                <w:rFonts w:hint="eastAsia" w:cs="Times New Roman"/>
                <w:kern w:val="2"/>
                <w:sz w:val="24"/>
                <w:szCs w:val="24"/>
                <w:lang w:val="en-US" w:eastAsia="zh-CN" w:bidi="ar-SA"/>
              </w:rPr>
              <w:t>235</w:t>
            </w:r>
            <w:r>
              <w:rPr>
                <w:rFonts w:ascii="Times New Roman" w:hAnsi="Times New Roman" w:eastAsia="宋体" w:cs="Times New Roman"/>
                <w:kern w:val="2"/>
                <w:sz w:val="24"/>
                <w:szCs w:val="24"/>
                <w:lang w:val="en-US" w:eastAsia="zh-CN" w:bidi="ar-SA"/>
              </w:rPr>
              <w:t>t/a，排放速率为0.</w:t>
            </w:r>
            <w:r>
              <w:rPr>
                <w:rFonts w:hint="eastAsia" w:cs="Times New Roman"/>
                <w:kern w:val="2"/>
                <w:sz w:val="24"/>
                <w:szCs w:val="24"/>
                <w:lang w:val="en-US" w:eastAsia="zh-CN" w:bidi="ar-SA"/>
              </w:rPr>
              <w:t>047</w:t>
            </w:r>
            <w:r>
              <w:rPr>
                <w:rFonts w:ascii="Times New Roman" w:hAnsi="Times New Roman" w:eastAsia="宋体" w:cs="Times New Roman"/>
                <w:kern w:val="2"/>
                <w:sz w:val="24"/>
                <w:szCs w:val="24"/>
                <w:lang w:val="en-US" w:eastAsia="zh-CN" w:bidi="ar-SA"/>
              </w:rPr>
              <w:t>kg/h，排放浓度为</w:t>
            </w:r>
            <w:r>
              <w:rPr>
                <w:rFonts w:hint="eastAsia" w:ascii="Times New Roman" w:hAnsi="Times New Roman" w:eastAsia="宋体" w:cs="Times New Roman"/>
                <w:kern w:val="2"/>
                <w:sz w:val="24"/>
                <w:szCs w:val="24"/>
                <w:lang w:val="en-US" w:eastAsia="zh-CN" w:bidi="ar-SA"/>
              </w:rPr>
              <w:t>33.878</w:t>
            </w:r>
            <w:r>
              <w:rPr>
                <w:rFonts w:ascii="Times New Roman" w:hAnsi="Times New Roman" w:eastAsia="宋体" w:cs="Times New Roman"/>
                <w:kern w:val="2"/>
                <w:sz w:val="24"/>
                <w:szCs w:val="24"/>
                <w:lang w:val="en-US" w:eastAsia="zh-CN" w:bidi="ar-SA"/>
              </w:rPr>
              <w:t>mg/m³。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color w:val="auto"/>
                <w:sz w:val="24"/>
                <w:szCs w:val="24"/>
              </w:rPr>
              <w:t>c）二氧化硫排放量按下式计算</w:t>
            </w:r>
          </w:p>
          <w:p>
            <w:pPr>
              <w:spacing w:line="440" w:lineRule="exact"/>
              <w:ind w:firstLine="420" w:firstLineChars="200"/>
              <w:rPr>
                <w:color w:val="auto"/>
                <w:sz w:val="24"/>
              </w:rPr>
            </w:pPr>
            <w:r>
              <w:rPr>
                <w:color w:val="auto"/>
              </w:rPr>
              <w:drawing>
                <wp:anchor distT="0" distB="0" distL="114300" distR="114300" simplePos="0" relativeHeight="251676672" behindDoc="1" locked="0" layoutInCell="1" allowOverlap="1">
                  <wp:simplePos x="0" y="0"/>
                  <wp:positionH relativeFrom="column">
                    <wp:posOffset>378460</wp:posOffset>
                  </wp:positionH>
                  <wp:positionV relativeFrom="paragraph">
                    <wp:posOffset>58420</wp:posOffset>
                  </wp:positionV>
                  <wp:extent cx="3218815" cy="483870"/>
                  <wp:effectExtent l="0" t="0" r="635" b="11430"/>
                  <wp:wrapNone/>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pic:cNvPicPr>
                        </pic:nvPicPr>
                        <pic:blipFill>
                          <a:blip r:embed="rId20"/>
                          <a:srcRect t="3656" b="14409"/>
                          <a:stretch>
                            <a:fillRect/>
                          </a:stretch>
                        </pic:blipFill>
                        <pic:spPr>
                          <a:xfrm>
                            <a:off x="0" y="0"/>
                            <a:ext cx="3218815" cy="483870"/>
                          </a:xfrm>
                          <a:prstGeom prst="rect">
                            <a:avLst/>
                          </a:prstGeom>
                          <a:noFill/>
                          <a:ln>
                            <a:noFill/>
                          </a:ln>
                        </pic:spPr>
                      </pic:pic>
                    </a:graphicData>
                  </a:graphic>
                </wp:anchor>
              </w:drawing>
            </w:r>
          </w:p>
          <w:p>
            <w:pPr>
              <w:spacing w:line="440" w:lineRule="exact"/>
              <w:ind w:firstLine="480" w:firstLineChars="200"/>
              <w:rPr>
                <w:color w:val="auto"/>
                <w:sz w:val="24"/>
              </w:rPr>
            </w:pPr>
          </w:p>
          <w:p>
            <w:pPr>
              <w:spacing w:line="440" w:lineRule="exact"/>
              <w:ind w:firstLine="480" w:firstLineChars="200"/>
              <w:rPr>
                <w:color w:val="auto"/>
                <w:sz w:val="24"/>
              </w:rPr>
            </w:pPr>
            <w:r>
              <w:rPr>
                <w:color w:val="auto"/>
                <w:sz w:val="24"/>
              </w:rPr>
              <w:t>式中：</w:t>
            </w:r>
          </w:p>
          <w:p>
            <w:pPr>
              <w:spacing w:line="440" w:lineRule="exact"/>
              <w:ind w:firstLine="480" w:firstLineChars="200"/>
              <w:rPr>
                <w:color w:val="auto"/>
                <w:sz w:val="24"/>
              </w:rPr>
            </w:pPr>
            <w:r>
              <w:rPr>
                <w:color w:val="auto"/>
                <w:sz w:val="24"/>
              </w:rPr>
              <w:t>E</w:t>
            </w:r>
            <w:r>
              <w:rPr>
                <w:color w:val="auto"/>
                <w:sz w:val="24"/>
                <w:vertAlign w:val="subscript"/>
              </w:rPr>
              <w:t>SO2</w:t>
            </w:r>
            <w:r>
              <w:rPr>
                <w:color w:val="auto"/>
                <w:sz w:val="24"/>
              </w:rPr>
              <w:t>——核算时段内SO</w:t>
            </w:r>
            <w:r>
              <w:rPr>
                <w:color w:val="auto"/>
                <w:sz w:val="24"/>
                <w:vertAlign w:val="subscript"/>
              </w:rPr>
              <w:t>2</w:t>
            </w:r>
            <w:r>
              <w:rPr>
                <w:color w:val="auto"/>
                <w:sz w:val="24"/>
              </w:rPr>
              <w:t>排放量，t；</w:t>
            </w:r>
          </w:p>
          <w:p>
            <w:pPr>
              <w:spacing w:line="440" w:lineRule="exact"/>
              <w:ind w:firstLine="480" w:firstLineChars="200"/>
              <w:rPr>
                <w:color w:val="auto"/>
                <w:sz w:val="24"/>
              </w:rPr>
            </w:pPr>
            <w:r>
              <w:rPr>
                <w:color w:val="auto"/>
                <w:sz w:val="24"/>
              </w:rPr>
              <w:t>R——核算时段内锅炉燃料耗量，</w:t>
            </w:r>
            <w:r>
              <w:rPr>
                <w:rFonts w:hint="eastAsia"/>
                <w:color w:val="auto"/>
                <w:sz w:val="24"/>
              </w:rPr>
              <w:t>燃料</w:t>
            </w:r>
            <w:r>
              <w:rPr>
                <w:color w:val="auto"/>
                <w:sz w:val="24"/>
              </w:rPr>
              <w:t>量</w:t>
            </w:r>
            <w:r>
              <w:rPr>
                <w:rFonts w:hint="eastAsia"/>
                <w:color w:val="auto"/>
                <w:sz w:val="24"/>
              </w:rPr>
              <w:t>为</w:t>
            </w:r>
            <w:r>
              <w:rPr>
                <w:rFonts w:hint="eastAsia"/>
                <w:color w:val="auto"/>
                <w:sz w:val="24"/>
                <w:lang w:val="en-US" w:eastAsia="zh-CN"/>
              </w:rPr>
              <w:t>756</w:t>
            </w:r>
            <w:r>
              <w:rPr>
                <w:rFonts w:hint="eastAsia"/>
                <w:color w:val="auto"/>
                <w:sz w:val="24"/>
              </w:rPr>
              <w:t>t</w:t>
            </w:r>
            <w:r>
              <w:rPr>
                <w:color w:val="auto"/>
                <w:sz w:val="24"/>
              </w:rPr>
              <w:t>；</w:t>
            </w:r>
          </w:p>
          <w:p>
            <w:pPr>
              <w:spacing w:line="440" w:lineRule="exact"/>
              <w:ind w:firstLine="480" w:firstLineChars="200"/>
              <w:rPr>
                <w:color w:val="auto"/>
                <w:sz w:val="24"/>
              </w:rPr>
            </w:pPr>
            <w:r>
              <w:rPr>
                <w:color w:val="auto"/>
                <w:sz w:val="24"/>
              </w:rPr>
              <w:t>Sar——收到基硫分的质量分数，</w:t>
            </w:r>
            <w:r>
              <w:rPr>
                <w:rFonts w:hint="eastAsia"/>
                <w:color w:val="auto"/>
                <w:sz w:val="24"/>
              </w:rPr>
              <w:t>0.</w:t>
            </w:r>
            <w:r>
              <w:rPr>
                <w:rFonts w:hint="eastAsia"/>
                <w:color w:val="auto"/>
                <w:sz w:val="24"/>
                <w:lang w:val="en-US" w:eastAsia="zh-CN"/>
              </w:rPr>
              <w:t>125</w:t>
            </w:r>
            <w:r>
              <w:rPr>
                <w:color w:val="auto"/>
                <w:sz w:val="24"/>
              </w:rPr>
              <w:t>%；</w:t>
            </w:r>
          </w:p>
          <w:p>
            <w:pPr>
              <w:spacing w:line="440" w:lineRule="exact"/>
              <w:ind w:firstLine="480" w:firstLineChars="200"/>
              <w:rPr>
                <w:color w:val="auto"/>
                <w:sz w:val="24"/>
              </w:rPr>
            </w:pPr>
            <w:r>
              <w:rPr>
                <w:color w:val="auto"/>
                <w:sz w:val="24"/>
              </w:rPr>
              <w:t>q</w:t>
            </w:r>
            <w:r>
              <w:rPr>
                <w:color w:val="auto"/>
                <w:sz w:val="24"/>
                <w:vertAlign w:val="subscript"/>
              </w:rPr>
              <w:t>4</w:t>
            </w:r>
            <w:r>
              <w:rPr>
                <w:color w:val="auto"/>
                <w:sz w:val="24"/>
              </w:rPr>
              <w:t>——锅炉机械不完全燃烧热损失，取</w:t>
            </w:r>
            <w:r>
              <w:rPr>
                <w:rFonts w:hint="eastAsia"/>
                <w:color w:val="auto"/>
                <w:sz w:val="24"/>
                <w:lang w:val="en-US" w:eastAsia="zh-CN"/>
              </w:rPr>
              <w:t>12</w:t>
            </w:r>
            <w:r>
              <w:rPr>
                <w:color w:val="auto"/>
                <w:sz w:val="24"/>
              </w:rPr>
              <w:t>%；</w:t>
            </w:r>
          </w:p>
          <w:p>
            <w:pPr>
              <w:spacing w:line="440" w:lineRule="exact"/>
              <w:ind w:firstLine="480" w:firstLineChars="200"/>
              <w:rPr>
                <w:color w:val="auto"/>
                <w:sz w:val="24"/>
              </w:rPr>
            </w:pPr>
            <w:r>
              <w:rPr>
                <w:color w:val="auto"/>
                <w:sz w:val="24"/>
              </w:rPr>
              <w:t>ηs——脱硫效率，取</w:t>
            </w:r>
            <w:r>
              <w:rPr>
                <w:rFonts w:hint="eastAsia"/>
                <w:color w:val="auto"/>
                <w:sz w:val="24"/>
              </w:rPr>
              <w:t>0</w:t>
            </w:r>
            <w:r>
              <w:rPr>
                <w:color w:val="auto"/>
                <w:sz w:val="24"/>
              </w:rPr>
              <w:t>%；</w:t>
            </w:r>
          </w:p>
          <w:p>
            <w:pPr>
              <w:spacing w:line="440" w:lineRule="exact"/>
              <w:ind w:firstLine="480" w:firstLineChars="200"/>
              <w:rPr>
                <w:color w:val="auto"/>
                <w:sz w:val="24"/>
              </w:rPr>
            </w:pPr>
            <w:r>
              <w:rPr>
                <w:color w:val="auto"/>
                <w:sz w:val="24"/>
              </w:rPr>
              <w:t>K——燃料中的硫燃烧后氧化成二氧化硫的份额，取0.</w:t>
            </w:r>
            <w:r>
              <w:rPr>
                <w:rFonts w:hint="eastAsia"/>
                <w:color w:val="auto"/>
                <w:sz w:val="24"/>
                <w:lang w:val="en-US" w:eastAsia="zh-CN"/>
              </w:rPr>
              <w:t>85</w:t>
            </w:r>
            <w:r>
              <w:rPr>
                <w:color w:val="auto"/>
                <w:sz w:val="24"/>
              </w:rPr>
              <w:t>；</w:t>
            </w:r>
          </w:p>
          <w:p>
            <w:pPr>
              <w:pStyle w:val="13"/>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kern w:val="2"/>
                <w:sz w:val="24"/>
                <w:szCs w:val="24"/>
                <w:lang w:val="en-US" w:eastAsia="zh-CN" w:bidi="ar-SA"/>
              </w:rPr>
            </w:pPr>
            <w:r>
              <w:rPr>
                <w:rFonts w:ascii="Times New Roman" w:hAnsi="Times New Roman" w:eastAsia="宋体" w:cs="Times New Roman"/>
                <w:kern w:val="2"/>
                <w:sz w:val="24"/>
                <w:szCs w:val="24"/>
                <w:lang w:val="en-US" w:eastAsia="zh-CN" w:bidi="ar-SA"/>
              </w:rPr>
              <w:t>经</w:t>
            </w:r>
            <w:r>
              <w:rPr>
                <w:rFonts w:hint="eastAsia" w:cs="Times New Roman"/>
                <w:kern w:val="2"/>
                <w:sz w:val="24"/>
                <w:szCs w:val="24"/>
                <w:lang w:val="en-US" w:eastAsia="zh-CN" w:bidi="ar-SA"/>
              </w:rPr>
              <w:t>计算</w:t>
            </w:r>
            <w:r>
              <w:rPr>
                <w:rFonts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二氧化硫</w:t>
            </w:r>
            <w:r>
              <w:rPr>
                <w:rFonts w:ascii="Times New Roman" w:hAnsi="Times New Roman" w:eastAsia="宋体" w:cs="Times New Roman"/>
                <w:kern w:val="2"/>
                <w:sz w:val="24"/>
                <w:szCs w:val="24"/>
                <w:lang w:val="en-US" w:eastAsia="zh-CN" w:bidi="ar-SA"/>
              </w:rPr>
              <w:t>的排放量为</w:t>
            </w:r>
            <w:r>
              <w:rPr>
                <w:rFonts w:hint="eastAsia" w:cs="Times New Roman"/>
                <w:kern w:val="2"/>
                <w:sz w:val="24"/>
                <w:szCs w:val="24"/>
                <w:lang w:val="en-US" w:eastAsia="zh-CN" w:bidi="ar-SA"/>
              </w:rPr>
              <w:t>1.414</w:t>
            </w:r>
            <w:r>
              <w:rPr>
                <w:rFonts w:ascii="Times New Roman" w:hAnsi="Times New Roman" w:eastAsia="宋体" w:cs="Times New Roman"/>
                <w:kern w:val="2"/>
                <w:sz w:val="24"/>
                <w:szCs w:val="24"/>
                <w:lang w:val="en-US" w:eastAsia="zh-CN" w:bidi="ar-SA"/>
              </w:rPr>
              <w:t>t/a，排放速率为0.</w:t>
            </w:r>
            <w:r>
              <w:rPr>
                <w:rFonts w:hint="eastAsia" w:cs="Times New Roman"/>
                <w:kern w:val="2"/>
                <w:sz w:val="24"/>
                <w:szCs w:val="24"/>
                <w:lang w:val="en-US" w:eastAsia="zh-CN" w:bidi="ar-SA"/>
              </w:rPr>
              <w:t>281</w:t>
            </w:r>
            <w:r>
              <w:rPr>
                <w:rFonts w:ascii="Times New Roman" w:hAnsi="Times New Roman" w:eastAsia="宋体" w:cs="Times New Roman"/>
                <w:kern w:val="2"/>
                <w:sz w:val="24"/>
                <w:szCs w:val="24"/>
                <w:lang w:val="en-US" w:eastAsia="zh-CN" w:bidi="ar-SA"/>
              </w:rPr>
              <w:t>kg/h，排放浓度为</w:t>
            </w:r>
            <w:r>
              <w:rPr>
                <w:rFonts w:hint="eastAsia" w:ascii="Times New Roman" w:hAnsi="Times New Roman" w:eastAsia="宋体" w:cs="Times New Roman"/>
                <w:kern w:val="2"/>
                <w:sz w:val="24"/>
                <w:szCs w:val="24"/>
                <w:lang w:val="en-US" w:eastAsia="zh-CN" w:bidi="ar-SA"/>
              </w:rPr>
              <w:t>203.704</w:t>
            </w:r>
            <w:r>
              <w:rPr>
                <w:rFonts w:ascii="Times New Roman" w:hAnsi="Times New Roman" w:eastAsia="宋体" w:cs="Times New Roman"/>
                <w:kern w:val="2"/>
                <w:sz w:val="24"/>
                <w:szCs w:val="24"/>
                <w:lang w:val="en-US" w:eastAsia="zh-CN" w:bidi="ar-SA"/>
              </w:rPr>
              <w:t>mg/m³。</w:t>
            </w:r>
          </w:p>
          <w:p>
            <w:pPr>
              <w:spacing w:line="440" w:lineRule="exact"/>
              <w:ind w:firstLine="480" w:firstLineChars="200"/>
              <w:rPr>
                <w:color w:val="auto"/>
                <w:sz w:val="24"/>
              </w:rPr>
            </w:pPr>
            <w:r>
              <w:rPr>
                <w:color w:val="auto"/>
                <w:sz w:val="24"/>
              </w:rPr>
              <w:t>d）氮氧化物排放量</w:t>
            </w:r>
          </w:p>
          <w:p>
            <w:pPr>
              <w:spacing w:line="440" w:lineRule="exact"/>
              <w:ind w:firstLine="480"/>
              <w:rPr>
                <w:color w:val="auto"/>
              </w:rPr>
            </w:pPr>
            <w:r>
              <w:rPr>
                <w:color w:val="auto"/>
              </w:rPr>
              <w:drawing>
                <wp:anchor distT="0" distB="0" distL="114300" distR="114300" simplePos="0" relativeHeight="251677696" behindDoc="1" locked="0" layoutInCell="1" allowOverlap="1">
                  <wp:simplePos x="0" y="0"/>
                  <wp:positionH relativeFrom="column">
                    <wp:posOffset>747395</wp:posOffset>
                  </wp:positionH>
                  <wp:positionV relativeFrom="paragraph">
                    <wp:posOffset>78105</wp:posOffset>
                  </wp:positionV>
                  <wp:extent cx="2666365" cy="609600"/>
                  <wp:effectExtent l="0" t="0" r="635" b="0"/>
                  <wp:wrapNone/>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1"/>
                          <a:srcRect b="-17073"/>
                          <a:stretch>
                            <a:fillRect/>
                          </a:stretch>
                        </pic:blipFill>
                        <pic:spPr>
                          <a:xfrm>
                            <a:off x="0" y="0"/>
                            <a:ext cx="2666365" cy="609600"/>
                          </a:xfrm>
                          <a:prstGeom prst="rect">
                            <a:avLst/>
                          </a:prstGeom>
                          <a:noFill/>
                          <a:ln>
                            <a:noFill/>
                          </a:ln>
                        </pic:spPr>
                      </pic:pic>
                    </a:graphicData>
                  </a:graphic>
                </wp:anchor>
              </w:drawing>
            </w:r>
          </w:p>
          <w:p>
            <w:pPr>
              <w:spacing w:line="440" w:lineRule="exact"/>
              <w:ind w:firstLine="480"/>
              <w:rPr>
                <w:color w:val="auto"/>
                <w:sz w:val="24"/>
              </w:rPr>
            </w:pPr>
          </w:p>
          <w:p>
            <w:pPr>
              <w:spacing w:line="440" w:lineRule="exact"/>
              <w:ind w:firstLine="480"/>
              <w:rPr>
                <w:color w:val="auto"/>
                <w:sz w:val="24"/>
              </w:rPr>
            </w:pPr>
            <w:r>
              <w:rPr>
                <w:color w:val="auto"/>
                <w:sz w:val="24"/>
              </w:rPr>
              <w:t>式中：</w:t>
            </w:r>
          </w:p>
          <w:p>
            <w:pPr>
              <w:spacing w:line="440" w:lineRule="exact"/>
              <w:ind w:firstLine="1200" w:firstLineChars="500"/>
              <w:rPr>
                <w:color w:val="auto"/>
                <w:sz w:val="24"/>
              </w:rPr>
            </w:pPr>
            <w:r>
              <w:rPr>
                <w:color w:val="auto"/>
                <w:sz w:val="24"/>
              </w:rPr>
              <w:t>E</w:t>
            </w:r>
            <w:r>
              <w:rPr>
                <w:color w:val="auto"/>
                <w:sz w:val="24"/>
                <w:vertAlign w:val="subscript"/>
              </w:rPr>
              <w:t>NOx</w:t>
            </w:r>
            <w:r>
              <w:rPr>
                <w:color w:val="auto"/>
                <w:sz w:val="24"/>
              </w:rPr>
              <w:t>——核算时段内氮氧化物排放量，t</w:t>
            </w:r>
            <w:r>
              <w:rPr>
                <w:rFonts w:hint="eastAsia"/>
                <w:color w:val="auto"/>
                <w:sz w:val="24"/>
              </w:rPr>
              <w:t>/</w:t>
            </w:r>
            <w:r>
              <w:rPr>
                <w:color w:val="auto"/>
                <w:sz w:val="24"/>
              </w:rPr>
              <w:t>h；</w:t>
            </w:r>
          </w:p>
          <w:p>
            <w:pPr>
              <w:spacing w:line="440" w:lineRule="exact"/>
              <w:ind w:firstLine="1200" w:firstLineChars="500"/>
              <w:rPr>
                <w:color w:val="auto"/>
                <w:sz w:val="24"/>
              </w:rPr>
            </w:pPr>
            <w:r>
              <w:rPr>
                <w:color w:val="auto"/>
                <w:sz w:val="24"/>
              </w:rPr>
              <w:t>ρ</w:t>
            </w:r>
            <w:r>
              <w:rPr>
                <w:color w:val="auto"/>
                <w:sz w:val="24"/>
                <w:vertAlign w:val="subscript"/>
              </w:rPr>
              <w:t>NOx</w:t>
            </w:r>
            <w:r>
              <w:rPr>
                <w:color w:val="auto"/>
                <w:sz w:val="24"/>
              </w:rPr>
              <w:t>——锅炉炉膛出口氮氧化物质量浓度</w:t>
            </w:r>
            <w:r>
              <w:rPr>
                <w:rFonts w:hint="eastAsia"/>
                <w:color w:val="auto"/>
                <w:sz w:val="24"/>
              </w:rPr>
              <w:t>，根据锅炉设计参数</w:t>
            </w:r>
            <w:r>
              <w:rPr>
                <w:rFonts w:hint="eastAsia"/>
                <w:color w:val="auto"/>
                <w:sz w:val="24"/>
                <w:lang w:eastAsia="zh-CN"/>
              </w:rPr>
              <w:t>（</w:t>
            </w:r>
            <w:r>
              <w:rPr>
                <w:rFonts w:hint="eastAsia"/>
                <w:color w:val="auto"/>
                <w:sz w:val="24"/>
                <w:lang w:val="en-US" w:eastAsia="zh-CN"/>
              </w:rPr>
              <w:t>带低氮燃烧器</w:t>
            </w:r>
            <w:r>
              <w:rPr>
                <w:rFonts w:hint="eastAsia"/>
                <w:color w:val="auto"/>
                <w:sz w:val="24"/>
                <w:lang w:eastAsia="zh-CN"/>
              </w:rPr>
              <w:t>）</w:t>
            </w:r>
            <w:r>
              <w:rPr>
                <w:rFonts w:hint="eastAsia"/>
                <w:color w:val="auto"/>
                <w:sz w:val="24"/>
              </w:rPr>
              <w:t>取</w:t>
            </w:r>
            <w:r>
              <w:rPr>
                <w:rFonts w:hint="eastAsia"/>
                <w:color w:val="auto"/>
                <w:sz w:val="24"/>
                <w:lang w:val="en-US" w:eastAsia="zh-CN"/>
              </w:rPr>
              <w:t>140</w:t>
            </w:r>
            <w:r>
              <w:rPr>
                <w:color w:val="auto"/>
                <w:sz w:val="24"/>
              </w:rPr>
              <w:t>mg/m</w:t>
            </w:r>
            <w:r>
              <w:rPr>
                <w:color w:val="auto"/>
                <w:sz w:val="24"/>
                <w:vertAlign w:val="superscript"/>
              </w:rPr>
              <w:t>3</w:t>
            </w:r>
            <w:r>
              <w:rPr>
                <w:color w:val="auto"/>
                <w:sz w:val="24"/>
              </w:rPr>
              <w:t>；</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Q——干烟气排放量，为</w:t>
            </w:r>
            <w:r>
              <w:rPr>
                <w:rFonts w:hint="eastAsia" w:cs="Times New Roman"/>
                <w:color w:val="auto"/>
                <w:sz w:val="24"/>
                <w:szCs w:val="24"/>
                <w:lang w:val="en-US" w:eastAsia="zh-CN"/>
              </w:rPr>
              <w:t>6940080</w:t>
            </w:r>
            <w:r>
              <w:rPr>
                <w:rFonts w:hint="default" w:ascii="Times New Roman" w:hAnsi="Times New Roman" w:eastAsia="宋体" w:cs="Times New Roman"/>
                <w:color w:val="auto"/>
                <w:sz w:val="24"/>
                <w:szCs w:val="24"/>
              </w:rPr>
              <w:t>Nm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η</w:t>
            </w:r>
            <w:r>
              <w:rPr>
                <w:rFonts w:hint="default" w:ascii="Times New Roman" w:hAnsi="Times New Roman" w:eastAsia="宋体" w:cs="Times New Roman"/>
                <w:color w:val="auto"/>
                <w:sz w:val="24"/>
                <w:szCs w:val="24"/>
                <w:vertAlign w:val="subscript"/>
              </w:rPr>
              <w:t>NOx</w:t>
            </w:r>
            <w:r>
              <w:rPr>
                <w:rFonts w:hint="default" w:ascii="Times New Roman" w:hAnsi="Times New Roman" w:eastAsia="宋体" w:cs="Times New Roman"/>
                <w:color w:val="auto"/>
                <w:sz w:val="24"/>
                <w:szCs w:val="24"/>
              </w:rPr>
              <w:t>——脱硝效率，取</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经</w:t>
            </w:r>
            <w:r>
              <w:rPr>
                <w:rFonts w:hint="eastAsia" w:cs="Times New Roman"/>
                <w:sz w:val="24"/>
                <w:szCs w:val="24"/>
                <w:lang w:eastAsia="zh-CN"/>
              </w:rPr>
              <w:t>计算</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x</w:t>
            </w:r>
            <w:r>
              <w:rPr>
                <w:rFonts w:hint="default" w:ascii="Times New Roman" w:hAnsi="Times New Roman" w:eastAsia="宋体" w:cs="Times New Roman"/>
                <w:sz w:val="24"/>
                <w:szCs w:val="24"/>
              </w:rPr>
              <w:t>的排放量为</w:t>
            </w:r>
            <w:r>
              <w:rPr>
                <w:rFonts w:hint="eastAsia" w:cs="Times New Roman"/>
                <w:sz w:val="24"/>
                <w:szCs w:val="24"/>
                <w:lang w:val="en-US" w:eastAsia="zh-CN"/>
              </w:rPr>
              <w:t>0.972</w:t>
            </w:r>
            <w:r>
              <w:rPr>
                <w:rFonts w:hint="default" w:ascii="Times New Roman" w:hAnsi="Times New Roman" w:eastAsia="宋体" w:cs="Times New Roman"/>
                <w:sz w:val="24"/>
                <w:szCs w:val="24"/>
              </w:rPr>
              <w:t>t/a，排放速率为</w:t>
            </w:r>
            <w:r>
              <w:rPr>
                <w:rFonts w:hint="eastAsia" w:ascii="Times New Roman" w:hAnsi="Times New Roman" w:eastAsia="宋体" w:cs="Times New Roman"/>
                <w:sz w:val="24"/>
                <w:szCs w:val="24"/>
                <w:lang w:val="en-US" w:eastAsia="zh-CN"/>
              </w:rPr>
              <w:t>0.</w:t>
            </w:r>
            <w:r>
              <w:rPr>
                <w:rFonts w:hint="eastAsia" w:cs="Times New Roman"/>
                <w:sz w:val="24"/>
                <w:szCs w:val="24"/>
                <w:lang w:val="en-US" w:eastAsia="zh-CN"/>
              </w:rPr>
              <w:t>193</w:t>
            </w:r>
            <w:r>
              <w:rPr>
                <w:rFonts w:hint="default" w:ascii="Times New Roman" w:hAnsi="Times New Roman" w:eastAsia="宋体" w:cs="Times New Roman"/>
                <w:sz w:val="24"/>
                <w:szCs w:val="24"/>
              </w:rPr>
              <w:t>kg/h，排放浓度为</w:t>
            </w:r>
            <w:r>
              <w:rPr>
                <w:rFonts w:hint="eastAsia" w:ascii="Times New Roman" w:hAnsi="Times New Roman" w:eastAsia="宋体" w:cs="Times New Roman"/>
                <w:sz w:val="24"/>
                <w:szCs w:val="24"/>
                <w:lang w:val="en-US" w:eastAsia="zh-CN"/>
              </w:rPr>
              <w:t>140</w:t>
            </w:r>
            <w:r>
              <w:rPr>
                <w:rFonts w:hint="default" w:ascii="Times New Roman" w:hAnsi="Times New Roman" w:eastAsia="宋体" w:cs="Times New Roman"/>
                <w:sz w:val="24"/>
                <w:szCs w:val="24"/>
              </w:rPr>
              <w:t>mg/m³。</w:t>
            </w:r>
          </w:p>
          <w:p>
            <w:pPr>
              <w:spacing w:line="440" w:lineRule="exact"/>
              <w:ind w:firstLine="480" w:firstLineChars="200"/>
              <w:rPr>
                <w:color w:val="auto"/>
                <w:sz w:val="24"/>
              </w:rPr>
            </w:pPr>
            <w:r>
              <w:rPr>
                <w:rFonts w:hint="eastAsia"/>
                <w:color w:val="auto"/>
                <w:sz w:val="24"/>
                <w:lang w:val="en-US" w:eastAsia="zh-CN"/>
              </w:rPr>
              <w:t>e</w:t>
            </w:r>
            <w:r>
              <w:rPr>
                <w:color w:val="auto"/>
                <w:sz w:val="24"/>
              </w:rPr>
              <w:t>）</w:t>
            </w:r>
            <w:r>
              <w:rPr>
                <w:rFonts w:hint="eastAsia"/>
                <w:color w:val="auto"/>
                <w:sz w:val="24"/>
                <w:lang w:val="en-US" w:eastAsia="zh-CN"/>
              </w:rPr>
              <w:t>汞及其化合物</w:t>
            </w:r>
            <w:r>
              <w:rPr>
                <w:color w:val="auto"/>
                <w:sz w:val="24"/>
              </w:rPr>
              <w:t>排放量</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cs="Times New Roman"/>
              </w:rPr>
            </w:pPr>
            <w:r>
              <w:rPr>
                <w:rFonts w:cs="Times New Roman"/>
                <w:kern w:val="0"/>
                <w:position w:val="-32"/>
              </w:rPr>
              <w:object>
                <v:shape id="_x0000_i1027" o:spt="75" type="#_x0000_t75" style="height:38.5pt;width:159pt;" o:ole="t" filled="f" o:preferrelative="t" stroked="f" coordsize="21600,21600">
                  <v:path/>
                  <v:fill on="f" focussize="0,0"/>
                  <v:stroke on="f" joinstyle="miter"/>
                  <v:imagedata r:id="rId23" o:title=""/>
                  <o:lock v:ext="edit" aspectratio="t"/>
                  <w10:wrap type="none"/>
                  <w10:anchorlock/>
                </v:shape>
                <o:OLEObject Type="Embed" ProgID="Equation.KSEE3" ShapeID="_x0000_i1027" DrawAspect="Content" ObjectID="_1468075727" r:id="rId22">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sz w:val="24"/>
                <w:szCs w:val="24"/>
              </w:rPr>
            </w:pPr>
            <w:r>
              <w:rPr>
                <w:rFonts w:cs="Times New Roman"/>
                <w:sz w:val="24"/>
                <w:szCs w:val="24"/>
              </w:rPr>
              <w:t>式中：E</w:t>
            </w:r>
            <w:r>
              <w:rPr>
                <w:rFonts w:cs="Times New Roman"/>
                <w:sz w:val="24"/>
                <w:szCs w:val="24"/>
                <w:vertAlign w:val="subscript"/>
              </w:rPr>
              <w:t>Hg</w:t>
            </w:r>
            <w:r>
              <w:rPr>
                <w:rFonts w:cs="Times New Roman"/>
                <w:sz w:val="24"/>
                <w:szCs w:val="24"/>
              </w:rPr>
              <w:t xml:space="preserve"> ——核算时段内汞及其化合物排放量</w:t>
            </w:r>
            <w:r>
              <w:rPr>
                <w:rFonts w:hint="eastAsia" w:cs="Times New Roman"/>
                <w:sz w:val="24"/>
                <w:szCs w:val="24"/>
                <w:lang w:eastAsia="zh-CN"/>
              </w:rPr>
              <w:t>（</w:t>
            </w:r>
            <w:r>
              <w:rPr>
                <w:rFonts w:cs="Times New Roman"/>
                <w:sz w:val="24"/>
                <w:szCs w:val="24"/>
              </w:rPr>
              <w:t>以汞计</w:t>
            </w:r>
            <w:r>
              <w:rPr>
                <w:rFonts w:hint="eastAsia" w:cs="Times New Roman"/>
                <w:sz w:val="24"/>
                <w:szCs w:val="24"/>
                <w:lang w:eastAsia="zh-CN"/>
              </w:rPr>
              <w:t>）</w:t>
            </w:r>
            <w:r>
              <w:rPr>
                <w:rFonts w:cs="Times New Roman"/>
                <w:sz w:val="24"/>
                <w:szCs w:val="24"/>
              </w:rPr>
              <w:t>，t；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sz w:val="24"/>
                <w:szCs w:val="24"/>
              </w:rPr>
            </w:pPr>
            <w:r>
              <w:rPr>
                <w:rFonts w:cs="Times New Roman"/>
                <w:sz w:val="24"/>
                <w:szCs w:val="24"/>
              </w:rPr>
              <w:t>R ——核算时段内锅炉燃料耗量，t；燃煤量为</w:t>
            </w:r>
            <w:r>
              <w:rPr>
                <w:rFonts w:hint="eastAsia" w:cs="Times New Roman"/>
                <w:sz w:val="24"/>
                <w:szCs w:val="24"/>
                <w:lang w:val="en-US" w:eastAsia="zh-CN"/>
              </w:rPr>
              <w:t>756</w:t>
            </w:r>
            <w:r>
              <w:rPr>
                <w:rFonts w:cs="Times New Roman"/>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sz w:val="24"/>
                <w:szCs w:val="24"/>
              </w:rPr>
            </w:pPr>
            <w:r>
              <w:rPr>
                <w:rFonts w:cs="Times New Roman"/>
                <w:sz w:val="24"/>
                <w:szCs w:val="24"/>
              </w:rPr>
              <w:t>m</w:t>
            </w:r>
            <w:r>
              <w:rPr>
                <w:rFonts w:cs="Times New Roman"/>
                <w:sz w:val="24"/>
                <w:szCs w:val="24"/>
                <w:vertAlign w:val="subscript"/>
              </w:rPr>
              <w:t>Hgar</w:t>
            </w:r>
            <w:r>
              <w:rPr>
                <w:rFonts w:cs="Times New Roman"/>
                <w:sz w:val="24"/>
                <w:szCs w:val="24"/>
              </w:rPr>
              <w:t xml:space="preserve"> ——收到基汞的含量，µg/g；取0.05µg/g（类比黑龙江省内煤质）；</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sz w:val="24"/>
                <w:szCs w:val="24"/>
              </w:rPr>
            </w:pPr>
            <w:r>
              <w:rPr>
                <w:rFonts w:cs="Times New Roman"/>
                <w:sz w:val="24"/>
                <w:szCs w:val="24"/>
              </w:rPr>
              <w:t>η</w:t>
            </w:r>
            <w:r>
              <w:rPr>
                <w:rFonts w:cs="Times New Roman"/>
                <w:sz w:val="24"/>
                <w:szCs w:val="24"/>
                <w:vertAlign w:val="subscript"/>
              </w:rPr>
              <w:t>Hg</w:t>
            </w:r>
            <w:r>
              <w:rPr>
                <w:rFonts w:cs="Times New Roman"/>
                <w:sz w:val="24"/>
                <w:szCs w:val="24"/>
              </w:rPr>
              <w:t xml:space="preserve"> ——汞的协同脱除效率，参照《污染源源强核算技术指南 锅炉》（HJ991-2018）中附件B.3的参数，本项目污染防治措施汞的协同脱除效率为70%；</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sz w:val="24"/>
                <w:szCs w:val="24"/>
              </w:rPr>
            </w:pPr>
            <w:r>
              <w:rPr>
                <w:rFonts w:cs="Times New Roman"/>
                <w:sz w:val="24"/>
                <w:szCs w:val="24"/>
              </w:rPr>
              <w:t>经计算，汞及其化合物的排放量为</w:t>
            </w:r>
            <w:r>
              <w:rPr>
                <w:rFonts w:hint="eastAsia" w:cs="Times New Roman"/>
                <w:sz w:val="24"/>
                <w:szCs w:val="24"/>
                <w:lang w:val="en-US" w:eastAsia="zh-CN"/>
              </w:rPr>
              <w:t>0.00001</w:t>
            </w:r>
            <w:r>
              <w:rPr>
                <w:rFonts w:cs="Times New Roman"/>
                <w:sz w:val="24"/>
                <w:szCs w:val="24"/>
              </w:rPr>
              <w:t>t/a，排放速率为</w:t>
            </w:r>
            <w:r>
              <w:rPr>
                <w:rFonts w:hint="eastAsia" w:cs="Times New Roman"/>
                <w:sz w:val="24"/>
                <w:szCs w:val="24"/>
                <w:lang w:val="en-US" w:eastAsia="zh-CN"/>
              </w:rPr>
              <w:t>0.000002</w:t>
            </w:r>
            <w:r>
              <w:rPr>
                <w:rFonts w:cs="Times New Roman"/>
                <w:sz w:val="24"/>
                <w:szCs w:val="24"/>
              </w:rPr>
              <w:t>kg/h，排放浓度为0.0016m</w:t>
            </w:r>
            <w:r>
              <w:rPr>
                <w:rFonts w:cs="Times New Roman"/>
                <w:color w:val="auto"/>
                <w:sz w:val="24"/>
                <w:szCs w:val="24"/>
              </w:rPr>
              <w:t>g/m³。</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s="Times New Roman"/>
                <w:color w:val="auto"/>
                <w:sz w:val="24"/>
                <w:szCs w:val="24"/>
                <w:lang w:val="en-US" w:eastAsia="zh-CN"/>
              </w:rPr>
            </w:pPr>
            <w:r>
              <w:rPr>
                <w:rFonts w:hint="eastAsia" w:cs="Times New Roman"/>
                <w:color w:val="auto"/>
                <w:sz w:val="24"/>
                <w:szCs w:val="24"/>
                <w:lang w:val="en-US" w:eastAsia="zh-CN"/>
              </w:rPr>
              <w:t>由上述可知原有工程锅炉烟气满足</w:t>
            </w:r>
            <w:r>
              <w:rPr>
                <w:color w:val="auto"/>
                <w:kern w:val="0"/>
                <w:sz w:val="24"/>
              </w:rPr>
              <w:t>《锅炉大气污染物排放标准》（GB13271-2014）表</w:t>
            </w:r>
            <w:r>
              <w:rPr>
                <w:rFonts w:hint="eastAsia"/>
                <w:color w:val="auto"/>
                <w:kern w:val="0"/>
                <w:sz w:val="24"/>
                <w:lang w:val="en-US" w:eastAsia="zh-CN"/>
              </w:rPr>
              <w:t>1</w:t>
            </w:r>
            <w:r>
              <w:rPr>
                <w:rFonts w:hint="eastAsia"/>
                <w:color w:val="auto"/>
                <w:kern w:val="0"/>
                <w:sz w:val="24"/>
              </w:rPr>
              <w:t>燃煤锅炉</w:t>
            </w:r>
            <w:r>
              <w:rPr>
                <w:color w:val="auto"/>
                <w:kern w:val="0"/>
                <w:sz w:val="24"/>
              </w:rPr>
              <w:t>大气污染物排放限值要求</w:t>
            </w:r>
            <w:r>
              <w:rPr>
                <w:rFonts w:hint="eastAsia"/>
                <w:bCs/>
                <w:color w:val="auto"/>
                <w:kern w:val="0"/>
                <w:sz w:val="24"/>
              </w:rPr>
              <w:t>。</w:t>
            </w:r>
          </w:p>
          <w:p>
            <w:pPr>
              <w:numPr>
                <w:ilvl w:val="0"/>
                <w:numId w:val="2"/>
              </w:numPr>
              <w:snapToGrid w:val="0"/>
              <w:spacing w:line="360" w:lineRule="auto"/>
              <w:ind w:firstLine="480" w:firstLineChars="200"/>
              <w:rPr>
                <w:rFonts w:hint="eastAsia"/>
                <w:color w:val="auto"/>
                <w:sz w:val="24"/>
                <w:lang w:val="en-US" w:eastAsia="zh-CN"/>
              </w:rPr>
            </w:pPr>
            <w:r>
              <w:rPr>
                <w:rFonts w:hint="eastAsia"/>
                <w:color w:val="auto"/>
                <w:sz w:val="24"/>
                <w:lang w:val="en-US" w:eastAsia="zh-CN"/>
              </w:rPr>
              <w:t>废水</w:t>
            </w:r>
          </w:p>
          <w:p>
            <w:pPr>
              <w:pStyle w:val="13"/>
              <w:numPr>
                <w:ilvl w:val="0"/>
                <w:numId w:val="0"/>
              </w:numPr>
              <w:ind w:right="113" w:rightChars="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本项目锅炉排水用于灰渣降尘，不外排，生活污水排入防渗化粪池，定期清掏，外运堆肥。</w:t>
            </w:r>
          </w:p>
          <w:p>
            <w:pPr>
              <w:numPr>
                <w:ilvl w:val="0"/>
                <w:numId w:val="2"/>
              </w:numPr>
              <w:snapToGrid w:val="0"/>
              <w:spacing w:line="360" w:lineRule="auto"/>
              <w:ind w:firstLine="480" w:firstLineChars="200"/>
              <w:rPr>
                <w:rFonts w:hint="eastAsia"/>
                <w:color w:val="auto"/>
                <w:sz w:val="24"/>
                <w:lang w:val="en-US" w:eastAsia="zh-CN"/>
              </w:rPr>
            </w:pPr>
            <w:r>
              <w:rPr>
                <w:rFonts w:hint="eastAsia"/>
                <w:color w:val="auto"/>
                <w:sz w:val="24"/>
                <w:lang w:val="en-US" w:eastAsia="zh-CN"/>
              </w:rPr>
              <w:t>噪声</w:t>
            </w:r>
          </w:p>
          <w:p>
            <w:pPr>
              <w:pStyle w:val="13"/>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本项目采用隔声减振等措施。</w:t>
            </w:r>
          </w:p>
          <w:p>
            <w:pPr>
              <w:pStyle w:val="14"/>
              <w:keepNext w:val="0"/>
              <w:keepLines w:val="0"/>
              <w:pageBreakBefore w:val="0"/>
              <w:widowControl/>
              <w:numPr>
                <w:ilvl w:val="0"/>
                <w:numId w:val="2"/>
              </w:numPr>
              <w:kinsoku/>
              <w:wordWrap/>
              <w:overflowPunct/>
              <w:topLinePunct w:val="0"/>
              <w:autoSpaceDE/>
              <w:autoSpaceDN/>
              <w:bidi w:val="0"/>
              <w:adjustRightInd/>
              <w:spacing w:line="360" w:lineRule="auto"/>
              <w:ind w:left="0" w:leftChars="0" w:firstLine="480" w:firstLineChars="200"/>
              <w:textAlignment w:val="auto"/>
              <w:rPr>
                <w:rFonts w:hint="eastAsia"/>
                <w:color w:val="auto"/>
                <w:sz w:val="24"/>
                <w:lang w:val="en-US" w:eastAsia="zh-CN"/>
              </w:rPr>
            </w:pPr>
            <w:r>
              <w:rPr>
                <w:rFonts w:hint="eastAsia"/>
                <w:color w:val="auto"/>
                <w:sz w:val="24"/>
                <w:lang w:val="en-US" w:eastAsia="zh-CN"/>
              </w:rPr>
              <w:t>固废</w:t>
            </w:r>
          </w:p>
          <w:p>
            <w:pPr>
              <w:keepNext w:val="0"/>
              <w:keepLines w:val="0"/>
              <w:pageBreakBefore w:val="0"/>
              <w:widowControl w:val="0"/>
              <w:kinsoku/>
              <w:wordWrap/>
              <w:overflowPunct w:val="0"/>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本项目运营期产生的固体废物，主要包括</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炉渣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eastAsia" w:cs="Times New Roman"/>
                <w:color w:val="auto"/>
                <w:sz w:val="24"/>
                <w:szCs w:val="24"/>
                <w:highlight w:val="none"/>
                <w:lang w:val="en-US" w:eastAsia="zh-CN"/>
              </w:rPr>
              <w:t>、废离子交换树脂</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cs="Times New Roman"/>
                <w:bCs/>
                <w:color w:val="auto"/>
                <w:spacing w:val="-10"/>
                <w:sz w:val="24"/>
                <w:szCs w:val="24"/>
                <w:highlight w:val="none"/>
                <w:lang w:val="en-US" w:eastAsia="zh-CN"/>
              </w:rPr>
              <w:t>除尘灰</w:t>
            </w:r>
            <w:r>
              <w:rPr>
                <w:rFonts w:hint="default" w:ascii="Times New Roman" w:hAnsi="Times New Roman" w:eastAsia="宋体" w:cs="Times New Roman"/>
                <w:bCs/>
                <w:color w:val="auto"/>
                <w:spacing w:val="-10"/>
                <w:sz w:val="24"/>
                <w:szCs w:val="24"/>
                <w:highlight w:val="none"/>
                <w:lang w:val="en-US" w:eastAsia="zh-CN"/>
              </w:rPr>
              <w:t>：年产生量约</w:t>
            </w:r>
            <w:r>
              <w:rPr>
                <w:rFonts w:hint="eastAsia" w:cs="Times New Roman"/>
                <w:color w:val="auto"/>
                <w:sz w:val="24"/>
                <w:szCs w:val="24"/>
                <w:highlight w:val="none"/>
                <w:lang w:val="en-US" w:eastAsia="zh-CN"/>
              </w:rPr>
              <w:t>58.544</w:t>
            </w:r>
            <w:r>
              <w:rPr>
                <w:rFonts w:hint="default" w:ascii="Times New Roman" w:hAnsi="Times New Roman" w:eastAsia="宋体" w:cs="Times New Roman"/>
                <w:bCs/>
                <w:color w:val="auto"/>
                <w:spacing w:val="-10"/>
                <w:sz w:val="24"/>
                <w:szCs w:val="24"/>
                <w:highlight w:val="none"/>
                <w:lang w:val="en-US" w:eastAsia="zh-CN"/>
              </w:rPr>
              <w:t>t/a，</w:t>
            </w:r>
            <w:r>
              <w:rPr>
                <w:rFonts w:hint="eastAsia" w:cs="Times New Roman"/>
                <w:bCs/>
                <w:color w:val="auto"/>
                <w:spacing w:val="-10"/>
                <w:sz w:val="24"/>
                <w:szCs w:val="24"/>
                <w:highlight w:val="none"/>
                <w:lang w:val="en-US" w:eastAsia="zh-CN"/>
              </w:rPr>
              <w:t>收集后外售给肥料厂制作肥料，固废代码为</w:t>
            </w:r>
            <w:r>
              <w:rPr>
                <w:rFonts w:hint="eastAsia"/>
                <w:color w:val="auto"/>
                <w:sz w:val="24"/>
                <w:szCs w:val="24"/>
              </w:rPr>
              <w:t>900-001-S02</w:t>
            </w:r>
            <w:r>
              <w:rPr>
                <w:rFonts w:hint="default" w:ascii="Times New Roman" w:hAnsi="Times New Roman" w:eastAsia="宋体" w:cs="Times New Roman"/>
                <w:color w:val="auto"/>
                <w:sz w:val="24"/>
                <w:szCs w:val="24"/>
                <w:highlight w:val="none"/>
                <w:lang w:eastAsia="zh-CN"/>
              </w:rPr>
              <w:t>。</w:t>
            </w:r>
          </w:p>
          <w:p>
            <w:pPr>
              <w:adjustRightInd w:val="0"/>
              <w:snapToGrid w:val="0"/>
              <w:ind w:firstLine="440" w:firstLineChars="200"/>
              <w:jc w:val="both"/>
              <w:rPr>
                <w:rFonts w:hint="eastAsia"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（2）灰渣</w:t>
            </w:r>
            <w:r>
              <w:rPr>
                <w:rFonts w:hint="eastAsia" w:cs="Times New Roman"/>
                <w:bCs/>
                <w:color w:val="auto"/>
                <w:spacing w:val="-10"/>
                <w:sz w:val="24"/>
                <w:szCs w:val="24"/>
                <w:highlight w:val="none"/>
                <w:lang w:val="en-US" w:eastAsia="zh-CN"/>
              </w:rPr>
              <w:t>：</w:t>
            </w:r>
          </w:p>
          <w:p>
            <w:pPr>
              <w:adjustRightInd w:val="0"/>
              <w:snapToGrid w:val="0"/>
              <w:jc w:val="center"/>
              <w:rPr>
                <w:rFonts w:eastAsia="仿宋_GB2312"/>
                <w:color w:val="auto"/>
              </w:rPr>
            </w:pPr>
            <w:r>
              <w:rPr>
                <w:rFonts w:eastAsia="仿宋_GB2312"/>
                <w:color w:val="auto"/>
                <w:position w:val="-34"/>
              </w:rPr>
              <w:object>
                <v:shape id="_x0000_i1028" o:spt="75" type="#_x0000_t75" style="height:39pt;width:167.25pt;" o:ole="t" filled="f" o:preferrelative="t" stroked="f" coordsize="21600,21600">
                  <v:path/>
                  <v:fill on="f" focussize="0,0"/>
                  <v:stroke on="f"/>
                  <v:imagedata r:id="rId25" o:title=""/>
                  <o:lock v:ext="edit" aspectratio="t"/>
                  <w10:wrap type="none"/>
                  <w10:anchorlock/>
                </v:shape>
                <o:OLEObject Type="Embed" ProgID="Equation.DSMT4" ShapeID="_x0000_i1028" DrawAspect="Content" ObjectID="_1468075728" r:id="rId24">
                  <o:LockedField>false</o:LockedField>
                </o:OLEObject>
              </w:object>
            </w:r>
          </w:p>
          <w:p>
            <w:pPr>
              <w:adjustRightInd w:val="0"/>
              <w:snapToGrid w:val="0"/>
              <w:spacing w:line="500" w:lineRule="exact"/>
              <w:ind w:firstLine="630" w:firstLineChars="300"/>
              <w:rPr>
                <w:color w:val="auto"/>
              </w:rPr>
            </w:pPr>
            <w:r>
              <w:rPr>
                <w:color w:val="auto"/>
              </w:rPr>
              <w:t>式中</w:t>
            </w:r>
            <w:r>
              <w:rPr>
                <w:rFonts w:hint="eastAsia"/>
                <w:i/>
                <w:iCs/>
                <w:color w:val="auto"/>
              </w:rPr>
              <w:t>E</w:t>
            </w:r>
            <w:r>
              <w:rPr>
                <w:rFonts w:hint="eastAsia"/>
                <w:i/>
                <w:iCs/>
                <w:color w:val="auto"/>
                <w:vertAlign w:val="subscript"/>
              </w:rPr>
              <w:t>hz</w:t>
            </w:r>
            <w:r>
              <w:rPr>
                <w:color w:val="auto"/>
              </w:rPr>
              <w:t>——</w:t>
            </w:r>
            <w:r>
              <w:rPr>
                <w:rFonts w:hint="eastAsia"/>
                <w:color w:val="auto"/>
              </w:rPr>
              <w:t>核算时段内灰渣</w:t>
            </w:r>
            <w:r>
              <w:rPr>
                <w:color w:val="auto"/>
              </w:rPr>
              <w:t>产生量，t；</w:t>
            </w:r>
          </w:p>
          <w:p>
            <w:pPr>
              <w:adjustRightInd w:val="0"/>
              <w:snapToGrid w:val="0"/>
              <w:spacing w:line="500" w:lineRule="exact"/>
              <w:ind w:firstLine="1010" w:firstLineChars="481"/>
              <w:rPr>
                <w:color w:val="auto"/>
              </w:rPr>
            </w:pPr>
            <w:r>
              <w:rPr>
                <w:color w:val="auto"/>
              </w:rPr>
              <w:t xml:space="preserve"> </w:t>
            </w:r>
            <w:r>
              <w:rPr>
                <w:rFonts w:hint="eastAsia"/>
                <w:color w:val="auto"/>
              </w:rPr>
              <w:t>R</w:t>
            </w:r>
            <w:r>
              <w:rPr>
                <w:color w:val="auto"/>
              </w:rPr>
              <w:t>——</w:t>
            </w:r>
            <w:r>
              <w:rPr>
                <w:rFonts w:hint="eastAsia"/>
                <w:color w:val="auto"/>
              </w:rPr>
              <w:t>核算时段内</w:t>
            </w:r>
            <w:r>
              <w:rPr>
                <w:color w:val="auto"/>
              </w:rPr>
              <w:t>锅炉燃料耗量，</w:t>
            </w:r>
            <w:r>
              <w:rPr>
                <w:rFonts w:hint="eastAsia"/>
                <w:color w:val="auto"/>
                <w:lang w:val="en-US" w:eastAsia="zh-CN"/>
              </w:rPr>
              <w:t>756</w:t>
            </w:r>
            <w:r>
              <w:rPr>
                <w:color w:val="auto"/>
              </w:rPr>
              <w:t>t；</w:t>
            </w:r>
          </w:p>
          <w:p>
            <w:pPr>
              <w:adjustRightInd w:val="0"/>
              <w:snapToGrid w:val="0"/>
              <w:spacing w:line="500" w:lineRule="exact"/>
              <w:ind w:firstLine="1010" w:firstLineChars="481"/>
              <w:rPr>
                <w:color w:val="auto"/>
              </w:rPr>
            </w:pPr>
            <w:r>
              <w:rPr>
                <w:color w:val="auto"/>
              </w:rPr>
              <w:t xml:space="preserve"> </w:t>
            </w:r>
            <w:r>
              <w:rPr>
                <w:i/>
                <w:iCs/>
                <w:color w:val="auto"/>
              </w:rPr>
              <w:t>A</w:t>
            </w:r>
            <w:r>
              <w:rPr>
                <w:i/>
                <w:iCs/>
                <w:color w:val="auto"/>
                <w:vertAlign w:val="subscript"/>
              </w:rPr>
              <w:t>a</w:t>
            </w:r>
            <w:r>
              <w:rPr>
                <w:color w:val="auto"/>
                <w:vertAlign w:val="subscript"/>
              </w:rPr>
              <w:t>r</w:t>
            </w:r>
            <w:r>
              <w:rPr>
                <w:color w:val="auto"/>
              </w:rPr>
              <w:t>——收到基</w:t>
            </w:r>
            <w:r>
              <w:rPr>
                <w:rFonts w:hint="eastAsia"/>
                <w:color w:val="auto"/>
                <w:lang w:eastAsia="zh-CN"/>
              </w:rPr>
              <w:t>灰分</w:t>
            </w:r>
            <w:r>
              <w:rPr>
                <w:rFonts w:hint="eastAsia"/>
                <w:color w:val="auto"/>
              </w:rPr>
              <w:t>的质量分数</w:t>
            </w:r>
            <w:r>
              <w:rPr>
                <w:color w:val="auto"/>
              </w:rPr>
              <w:t>，%，本次评价取</w:t>
            </w:r>
            <w:r>
              <w:rPr>
                <w:rFonts w:hint="eastAsia"/>
                <w:color w:val="auto"/>
                <w:lang w:val="en-US" w:eastAsia="zh-CN"/>
              </w:rPr>
              <w:t>34.21</w:t>
            </w:r>
            <w:r>
              <w:rPr>
                <w:color w:val="auto"/>
              </w:rPr>
              <w:t xml:space="preserve"> ；</w:t>
            </w:r>
          </w:p>
          <w:p>
            <w:pPr>
              <w:adjustRightInd w:val="0"/>
              <w:snapToGrid w:val="0"/>
              <w:spacing w:line="480" w:lineRule="exact"/>
              <w:ind w:firstLine="1010" w:firstLineChars="481"/>
              <w:rPr>
                <w:color w:val="auto"/>
              </w:rPr>
            </w:pPr>
            <w:r>
              <w:rPr>
                <w:color w:val="auto"/>
              </w:rPr>
              <w:t xml:space="preserve"> </w:t>
            </w:r>
            <w:r>
              <w:rPr>
                <w:i/>
                <w:iCs/>
                <w:color w:val="auto"/>
              </w:rPr>
              <w:t>q</w:t>
            </w:r>
            <w:r>
              <w:rPr>
                <w:color w:val="auto"/>
                <w:vertAlign w:val="subscript"/>
              </w:rPr>
              <w:t>4</w:t>
            </w:r>
            <w:r>
              <w:rPr>
                <w:color w:val="auto"/>
              </w:rPr>
              <w:t>——锅炉机械未完全燃烧热损失，%，本次评价取</w:t>
            </w:r>
            <w:r>
              <w:rPr>
                <w:rFonts w:hint="eastAsia"/>
                <w:color w:val="auto"/>
                <w:lang w:val="en-US" w:eastAsia="zh-CN"/>
              </w:rPr>
              <w:t>12</w:t>
            </w:r>
            <w:r>
              <w:rPr>
                <w:color w:val="auto"/>
              </w:rPr>
              <w:t>；</w:t>
            </w:r>
          </w:p>
          <w:p>
            <w:pPr>
              <w:adjustRightInd w:val="0"/>
              <w:snapToGrid w:val="0"/>
              <w:spacing w:line="480" w:lineRule="exact"/>
              <w:ind w:firstLine="1010" w:firstLineChars="481"/>
              <w:rPr>
                <w:rFonts w:hint="default" w:eastAsia="宋体"/>
                <w:color w:val="auto"/>
                <w:lang w:val="en-US" w:eastAsia="zh-CN"/>
              </w:rPr>
            </w:pPr>
            <w:r>
              <w:rPr>
                <w:color w:val="auto"/>
              </w:rPr>
              <w:t xml:space="preserve"> Q</w:t>
            </w:r>
            <w:r>
              <w:rPr>
                <w:color w:val="auto"/>
                <w:vertAlign w:val="subscript"/>
              </w:rPr>
              <w:t>net，ar</w:t>
            </w:r>
            <w:r>
              <w:rPr>
                <w:color w:val="auto"/>
              </w:rPr>
              <w:t>——燃料收到基低位发热量，kJ/kg，本次评价取</w:t>
            </w:r>
            <w:r>
              <w:rPr>
                <w:rFonts w:hint="eastAsia"/>
                <w:color w:val="auto"/>
                <w:lang w:val="en-US" w:eastAsia="zh-CN"/>
              </w:rPr>
              <w:t>18669</w:t>
            </w:r>
            <w:r>
              <w:rPr>
                <w:color w:val="auto"/>
              </w:rPr>
              <w:t>；</w:t>
            </w:r>
          </w:p>
          <w:p>
            <w:pPr>
              <w:adjustRightInd w:val="0"/>
              <w:snapToGrid w:val="0"/>
              <w:spacing w:line="360" w:lineRule="auto"/>
              <w:ind w:firstLine="440" w:firstLineChars="200"/>
              <w:rPr>
                <w:rFonts w:hint="default" w:ascii="Times New Roman" w:hAnsi="Times New Roman" w:eastAsia="宋体" w:cs="Times New Roman"/>
                <w:bCs/>
                <w:color w:val="auto"/>
                <w:spacing w:val="-10"/>
                <w:sz w:val="24"/>
                <w:szCs w:val="24"/>
                <w:highlight w:val="none"/>
                <w:lang w:val="en-US" w:eastAsia="zh-CN"/>
              </w:rPr>
            </w:pPr>
            <w:r>
              <w:rPr>
                <w:rFonts w:hint="eastAsia"/>
                <w:bCs/>
                <w:color w:val="auto"/>
                <w:spacing w:val="-10"/>
                <w:sz w:val="24"/>
              </w:rPr>
              <w:t>经计算，本项目灰渣</w:t>
            </w:r>
            <w:r>
              <w:rPr>
                <w:bCs/>
                <w:color w:val="auto"/>
                <w:spacing w:val="-10"/>
                <w:sz w:val="24"/>
              </w:rPr>
              <w:t>产生量为</w:t>
            </w:r>
            <w:r>
              <w:rPr>
                <w:rFonts w:hint="eastAsia"/>
                <w:bCs/>
                <w:color w:val="auto"/>
                <w:spacing w:val="-10"/>
                <w:sz w:val="24"/>
                <w:lang w:val="en-US" w:eastAsia="zh-CN"/>
              </w:rPr>
              <w:t>308.6</w:t>
            </w:r>
            <w:r>
              <w:rPr>
                <w:bCs/>
                <w:color w:val="auto"/>
                <w:spacing w:val="-10"/>
                <w:sz w:val="24"/>
              </w:rPr>
              <w:t>t/a</w:t>
            </w:r>
            <w:r>
              <w:rPr>
                <w:rFonts w:hint="eastAsia"/>
                <w:bCs/>
                <w:color w:val="auto"/>
                <w:spacing w:val="-10"/>
                <w:sz w:val="24"/>
              </w:rPr>
              <w:t>；</w:t>
            </w:r>
            <w:r>
              <w:rPr>
                <w:rFonts w:hint="eastAsia" w:ascii="Times New Roman" w:hAnsi="Times New Roman" w:eastAsia="宋体" w:cs="Times New Roman"/>
                <w:color w:val="auto"/>
                <w:sz w:val="24"/>
                <w:szCs w:val="24"/>
                <w:highlight w:val="none"/>
              </w:rPr>
              <w:t>清理后直接装袋，</w:t>
            </w:r>
            <w:r>
              <w:rPr>
                <w:rFonts w:hint="default" w:ascii="Times New Roman" w:hAnsi="Times New Roman" w:eastAsia="宋体" w:cs="Times New Roman"/>
                <w:bCs/>
                <w:color w:val="auto"/>
                <w:spacing w:val="-10"/>
                <w:sz w:val="24"/>
                <w:szCs w:val="24"/>
                <w:highlight w:val="none"/>
                <w:lang w:val="en-US" w:eastAsia="zh-CN"/>
              </w:rPr>
              <w:t>外售</w:t>
            </w:r>
            <w:r>
              <w:rPr>
                <w:rFonts w:hint="eastAsia" w:cs="Times New Roman"/>
                <w:bCs/>
                <w:color w:val="auto"/>
                <w:spacing w:val="-10"/>
                <w:sz w:val="24"/>
                <w:szCs w:val="24"/>
                <w:highlight w:val="none"/>
                <w:lang w:val="en-US" w:eastAsia="zh-CN"/>
              </w:rPr>
              <w:t>给砖厂进行制砖铺路</w:t>
            </w:r>
            <w:r>
              <w:rPr>
                <w:rFonts w:hint="default" w:ascii="Times New Roman" w:hAnsi="Times New Roman" w:eastAsia="宋体"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固体废物</w:t>
            </w:r>
            <w:r>
              <w:rPr>
                <w:rFonts w:hint="default" w:ascii="Times New Roman" w:hAnsi="Times New Roman" w:eastAsia="宋体" w:cs="Times New Roman"/>
                <w:color w:val="auto"/>
                <w:sz w:val="24"/>
                <w:szCs w:val="24"/>
                <w:highlight w:val="none"/>
                <w:lang w:eastAsia="zh-CN"/>
              </w:rPr>
              <w:t>代码为</w:t>
            </w:r>
            <w:r>
              <w:rPr>
                <w:rFonts w:hint="default" w:ascii="Times New Roman" w:hAnsi="Times New Roman" w:eastAsia="宋体" w:cs="Times New Roman"/>
                <w:color w:val="auto"/>
                <w:sz w:val="24"/>
                <w:szCs w:val="24"/>
                <w:highlight w:val="none"/>
                <w:lang w:val="en-US" w:eastAsia="zh-CN"/>
              </w:rPr>
              <w:t>900-002-S02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3</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0.315</w:t>
            </w:r>
            <w:r>
              <w:rPr>
                <w:rFonts w:hint="eastAsia" w:ascii="Times New Roman" w:hAnsi="Times New Roman" w:eastAsia="宋体" w:cs="Times New Roman"/>
                <w:bCs/>
                <w:color w:val="auto"/>
                <w:spacing w:val="-10"/>
                <w:sz w:val="24"/>
                <w:szCs w:val="24"/>
                <w:highlight w:val="none"/>
                <w:lang w:val="en-US" w:eastAsia="zh-CN"/>
              </w:rPr>
              <w:t>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default" w:ascii="Times New Roman" w:hAnsi="Times New Roman" w:eastAsia="宋体" w:cs="Times New Roman"/>
                <w:color w:val="auto"/>
                <w:sz w:val="24"/>
                <w:szCs w:val="24"/>
                <w:highlight w:val="none"/>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固体废物</w:t>
            </w:r>
            <w:r>
              <w:rPr>
                <w:rFonts w:hint="eastAsia" w:ascii="Times New Roman" w:hAnsi="Times New Roman" w:eastAsia="宋体" w:cs="Times New Roman"/>
                <w:color w:val="auto"/>
                <w:kern w:val="2"/>
                <w:sz w:val="24"/>
                <w:szCs w:val="24"/>
                <w:highlight w:val="none"/>
                <w:lang w:val="en-US" w:eastAsia="zh-CN" w:bidi="ar-SA"/>
              </w:rPr>
              <w:t>代码900-009-S59，由厂家检修后直接带走。</w:t>
            </w:r>
          </w:p>
          <w:p>
            <w:pPr>
              <w:pStyle w:val="25"/>
              <w:numPr>
                <w:ilvl w:val="0"/>
                <w:numId w:val="0"/>
              </w:numPr>
              <w:ind w:left="420" w:leftChars="200"/>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（5）</w:t>
            </w:r>
            <w:r>
              <w:rPr>
                <w:rFonts w:hint="eastAsia" w:cs="Times New Roman"/>
                <w:color w:val="auto"/>
                <w:kern w:val="2"/>
                <w:sz w:val="24"/>
                <w:szCs w:val="24"/>
                <w:highlight w:val="none"/>
                <w:lang w:val="en-US" w:eastAsia="zh-CN" w:bidi="ar-SA"/>
              </w:rPr>
              <w:t>废离子交换树脂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本项目废弃离子交换树脂产生量约为0.</w:t>
            </w:r>
            <w:r>
              <w:rPr>
                <w:rFonts w:hint="eastAsia"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固体废物代码900-008-S59，</w:t>
            </w:r>
            <w:r>
              <w:rPr>
                <w:rFonts w:hint="default" w:ascii="Times New Roman" w:hAnsi="Times New Roman" w:eastAsia="宋体" w:cs="Times New Roman"/>
                <w:color w:val="auto"/>
                <w:kern w:val="2"/>
                <w:sz w:val="24"/>
                <w:szCs w:val="24"/>
                <w:highlight w:val="none"/>
                <w:lang w:val="en-US" w:eastAsia="zh-CN" w:bidi="ar-SA"/>
              </w:rPr>
              <w:t>锅炉软化水水处理装置产生的废离子交换树脂由厂家回收利用。</w:t>
            </w:r>
          </w:p>
          <w:p>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本项目固体废物处置率100%，对外环境影响较小。</w:t>
            </w:r>
          </w:p>
          <w:p>
            <w:pPr>
              <w:pStyle w:val="1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原有环境问题</w:t>
            </w:r>
            <w:r>
              <w:rPr>
                <w:rFonts w:hint="eastAsia" w:cs="Times New Roman"/>
                <w:color w:val="auto"/>
                <w:kern w:val="2"/>
                <w:sz w:val="24"/>
                <w:szCs w:val="24"/>
                <w:highlight w:val="none"/>
                <w:lang w:val="en-US" w:eastAsia="zh-CN" w:bidi="ar-SA"/>
              </w:rPr>
              <w:t>识别</w:t>
            </w:r>
          </w:p>
          <w:p>
            <w:pPr>
              <w:pStyle w:val="1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原有锅炉采用布袋</w:t>
            </w:r>
            <w:r>
              <w:rPr>
                <w:rFonts w:hint="eastAsia" w:cs="Times New Roman"/>
                <w:color w:val="auto"/>
                <w:kern w:val="2"/>
                <w:sz w:val="24"/>
                <w:szCs w:val="24"/>
                <w:highlight w:val="none"/>
                <w:lang w:val="en-US" w:eastAsia="zh-CN" w:bidi="ar-SA"/>
              </w:rPr>
              <w:t>除尘器</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15</w:t>
            </w:r>
            <w:r>
              <w:rPr>
                <w:rFonts w:hint="eastAsia" w:ascii="Times New Roman" w:hAnsi="Times New Roman" w:eastAsia="宋体" w:cs="Times New Roman"/>
                <w:color w:val="auto"/>
                <w:kern w:val="2"/>
                <w:sz w:val="24"/>
                <w:szCs w:val="24"/>
                <w:highlight w:val="none"/>
                <w:lang w:val="en-US" w:eastAsia="zh-CN" w:bidi="ar-SA"/>
              </w:rPr>
              <w:t>m高排气筒排放，无脱硫设施</w:t>
            </w:r>
            <w:r>
              <w:rPr>
                <w:rFonts w:hint="eastAsia" w:cs="Times New Roman"/>
                <w:color w:val="auto"/>
                <w:kern w:val="2"/>
                <w:sz w:val="24"/>
                <w:szCs w:val="24"/>
                <w:highlight w:val="none"/>
                <w:lang w:val="en-US" w:eastAsia="zh-CN" w:bidi="ar-SA"/>
              </w:rPr>
              <w:t>，排气筒高度不满足要求；原有项目未办理环评手续，未办理排污许可证，未进行环保验收。根据</w:t>
            </w:r>
            <w:r>
              <w:rPr>
                <w:color w:val="auto"/>
                <w:sz w:val="24"/>
              </w:rPr>
              <w:t>《产业结构调整指导目录（</w:t>
            </w:r>
            <w:r>
              <w:rPr>
                <w:rFonts w:hint="eastAsia"/>
                <w:color w:val="auto"/>
                <w:sz w:val="24"/>
              </w:rPr>
              <w:t>2024</w:t>
            </w:r>
            <w:r>
              <w:rPr>
                <w:color w:val="auto"/>
                <w:sz w:val="24"/>
              </w:rPr>
              <w:t>年本）》</w:t>
            </w:r>
            <w:r>
              <w:rPr>
                <w:rFonts w:hint="eastAsia"/>
                <w:color w:val="auto"/>
                <w:sz w:val="24"/>
                <w:lang w:eastAsia="zh-CN"/>
              </w:rPr>
              <w:t>，</w:t>
            </w:r>
            <w:r>
              <w:rPr>
                <w:rFonts w:hint="eastAsia" w:cs="Times New Roman"/>
                <w:color w:val="auto"/>
                <w:kern w:val="2"/>
                <w:sz w:val="24"/>
                <w:szCs w:val="24"/>
                <w:highlight w:val="none"/>
                <w:lang w:val="en-US" w:eastAsia="zh-CN" w:bidi="ar-SA"/>
              </w:rPr>
              <w:t>每小时10蒸吨及以下燃煤锅炉已被列入淘汰类设备。</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以新带老措施</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原有锅炉已停用，选用一台2.1MW燃生物质锅炉替代原有锅炉进行生活供暖，锅炉采用低氮燃烧技术，并配套建设旋风+布袋除尘器+30m高排气筒，本项目建成后依法办理排污许可证，持证排污，取得排污许可证后方可运行，进行建设项目环保竣工验收。</w:t>
            </w:r>
          </w:p>
        </w:tc>
      </w:tr>
    </w:tbl>
    <w:p>
      <w:pPr>
        <w:pStyle w:val="27"/>
        <w:jc w:val="center"/>
        <w:rPr>
          <w:rFonts w:ascii="Times New Roman" w:hAnsi="Times New Roman" w:eastAsia="黑体"/>
          <w:snapToGrid w:val="0"/>
          <w:color w:val="auto"/>
          <w:sz w:val="36"/>
          <w:szCs w:val="36"/>
        </w:rPr>
        <w:sectPr>
          <w:pgSz w:w="11906" w:h="16838"/>
          <w:pgMar w:top="1701" w:right="1531" w:bottom="1701" w:left="1531" w:header="851" w:footer="851" w:gutter="0"/>
          <w:cols w:space="720" w:num="1"/>
          <w:docGrid w:linePitch="312" w:charSpace="0"/>
        </w:sectPr>
      </w:pPr>
    </w:p>
    <w:p>
      <w:pPr>
        <w:pStyle w:val="27"/>
        <w:adjustRightInd w:val="0"/>
        <w:snapToGrid w:val="0"/>
        <w:spacing w:before="0" w:beforeAutospacing="0" w:after="0" w:afterAutospacing="0" w:line="14" w:lineRule="auto"/>
        <w:jc w:val="center"/>
        <w:outlineLvl w:val="9"/>
        <w:rPr>
          <w:rFonts w:ascii="Times New Roman" w:hAnsi="Times New Roman" w:eastAsia="黑体"/>
          <w:snapToGrid w:val="0"/>
          <w:color w:val="auto"/>
          <w:sz w:val="30"/>
          <w:szCs w:val="30"/>
        </w:rPr>
      </w:pPr>
    </w:p>
    <w:p>
      <w:pPr>
        <w:pStyle w:val="27"/>
        <w:jc w:val="center"/>
        <w:outlineLvl w:val="0"/>
        <w:rPr>
          <w:rFonts w:ascii="Times New Roman" w:hAnsi="Times New Roman" w:eastAsia="黑体"/>
          <w:snapToGrid w:val="0"/>
          <w:color w:val="auto"/>
          <w:sz w:val="30"/>
          <w:szCs w:val="30"/>
        </w:rPr>
      </w:pPr>
      <w:bookmarkStart w:id="24" w:name="_Toc22660"/>
      <w:r>
        <w:rPr>
          <w:rFonts w:ascii="Times New Roman" w:hAnsi="Times New Roman" w:eastAsia="黑体"/>
          <w:snapToGrid w:val="0"/>
          <w:color w:val="auto"/>
          <w:sz w:val="30"/>
          <w:szCs w:val="30"/>
        </w:rPr>
        <w:t>三、区域环境质量现状、环境保护目标及评价标准</w:t>
      </w:r>
      <w:bookmarkEnd w:id="24"/>
    </w:p>
    <w:tbl>
      <w:tblPr>
        <w:tblStyle w:val="30"/>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6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452" w:type="dxa"/>
            <w:noWrap w:val="0"/>
            <w:vAlign w:val="center"/>
          </w:tcPr>
          <w:p>
            <w:pPr>
              <w:adjustRightInd w:val="0"/>
              <w:snapToGrid w:val="0"/>
              <w:jc w:val="center"/>
              <w:rPr>
                <w:color w:val="auto"/>
                <w:kern w:val="0"/>
                <w:sz w:val="24"/>
              </w:rPr>
            </w:pPr>
            <w:r>
              <w:rPr>
                <w:color w:val="auto"/>
                <w:kern w:val="0"/>
                <w:sz w:val="24"/>
              </w:rPr>
              <w:t>区域</w:t>
            </w:r>
          </w:p>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质量</w:t>
            </w:r>
          </w:p>
          <w:p>
            <w:pPr>
              <w:adjustRightInd w:val="0"/>
              <w:snapToGrid w:val="0"/>
              <w:jc w:val="center"/>
              <w:rPr>
                <w:color w:val="auto"/>
                <w:kern w:val="0"/>
                <w:szCs w:val="21"/>
              </w:rPr>
            </w:pPr>
            <w:r>
              <w:rPr>
                <w:color w:val="auto"/>
                <w:kern w:val="0"/>
                <w:sz w:val="24"/>
              </w:rPr>
              <w:t>现状</w:t>
            </w:r>
          </w:p>
        </w:tc>
        <w:tc>
          <w:tcPr>
            <w:tcW w:w="86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1、大气环境质量现状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pPr>
              <w:keepNext w:val="0"/>
              <w:keepLines w:val="0"/>
              <w:suppressLineNumbers w:val="0"/>
              <w:adjustRightInd/>
              <w:snapToGrid/>
              <w:spacing w:before="0" w:beforeAutospacing="0" w:after="0" w:afterAutospacing="0" w:line="360" w:lineRule="auto"/>
              <w:ind w:left="0" w:right="0" w:firstLine="480" w:firstLineChars="0"/>
              <w:jc w:val="both"/>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eastAsia="zh-CN"/>
              </w:rPr>
              <w:t>本项目</w:t>
            </w:r>
            <w:r>
              <w:rPr>
                <w:rFonts w:hint="default" w:ascii="Times New Roman" w:hAnsi="Times New Roman" w:eastAsia="宋体" w:cs="Times New Roman"/>
                <w:bCs w:val="0"/>
                <w:color w:val="auto"/>
                <w:sz w:val="24"/>
                <w:szCs w:val="24"/>
                <w:highlight w:val="none"/>
                <w:lang w:val="en-US" w:eastAsia="zh-CN"/>
              </w:rPr>
              <w:t>所在地</w:t>
            </w:r>
            <w:r>
              <w:rPr>
                <w:rFonts w:hint="default" w:ascii="Times New Roman" w:hAnsi="Times New Roman" w:eastAsia="宋体" w:cs="Times New Roman"/>
                <w:bCs w:val="0"/>
                <w:color w:val="auto"/>
                <w:sz w:val="24"/>
                <w:szCs w:val="24"/>
                <w:highlight w:val="none"/>
                <w:lang w:eastAsia="zh-CN"/>
              </w:rPr>
              <w:t>属</w:t>
            </w:r>
            <w:r>
              <w:rPr>
                <w:rFonts w:hint="default" w:ascii="Times New Roman" w:hAnsi="Times New Roman" w:eastAsia="宋体" w:cs="Times New Roman"/>
                <w:bCs w:val="0"/>
                <w:color w:val="auto"/>
                <w:sz w:val="24"/>
                <w:szCs w:val="24"/>
                <w:highlight w:val="none"/>
              </w:rPr>
              <w:t>伊春市，</w:t>
            </w:r>
            <w:r>
              <w:rPr>
                <w:rFonts w:hint="default" w:ascii="Times New Roman" w:hAnsi="Times New Roman" w:eastAsia="宋体" w:cs="Times New Roman"/>
                <w:bCs/>
                <w:color w:val="auto"/>
                <w:sz w:val="24"/>
                <w:szCs w:val="24"/>
                <w:highlight w:val="none"/>
              </w:rPr>
              <w:t>环境空气质量基本污染物现状监测数据来源于《</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根据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，202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年，全市环境空气质量达标，二氧化硫、二氧化氮年均值、可吸入颗粒物PM</w:t>
            </w:r>
            <w:r>
              <w:rPr>
                <w:rFonts w:hint="default" w:ascii="Times New Roman" w:hAnsi="Times New Roman" w:eastAsia="宋体" w:cs="Times New Roman"/>
                <w:bCs w:val="0"/>
                <w:color w:val="auto"/>
                <w:sz w:val="24"/>
                <w:szCs w:val="24"/>
                <w:highlight w:val="none"/>
                <w:vertAlign w:val="subscript"/>
              </w:rPr>
              <w:t>10</w:t>
            </w:r>
            <w:r>
              <w:rPr>
                <w:rFonts w:hint="default" w:ascii="Times New Roman" w:hAnsi="Times New Roman" w:eastAsia="宋体" w:cs="Times New Roman"/>
                <w:bCs w:val="0"/>
                <w:color w:val="auto"/>
                <w:sz w:val="24"/>
                <w:szCs w:val="24"/>
                <w:highlight w:val="none"/>
              </w:rPr>
              <w:t>、细颗粒物 PM</w:t>
            </w:r>
            <w:r>
              <w:rPr>
                <w:rFonts w:hint="default" w:ascii="Times New Roman" w:hAnsi="Times New Roman" w:eastAsia="宋体" w:cs="Times New Roman"/>
                <w:bCs w:val="0"/>
                <w:color w:val="auto"/>
                <w:sz w:val="24"/>
                <w:szCs w:val="24"/>
                <w:highlight w:val="none"/>
                <w:vertAlign w:val="subscript"/>
              </w:rPr>
              <w:t>2.5</w:t>
            </w:r>
            <w:r>
              <w:rPr>
                <w:rFonts w:hint="default" w:ascii="Times New Roman" w:hAnsi="Times New Roman" w:eastAsia="宋体" w:cs="Times New Roman"/>
                <w:bCs w:val="0"/>
                <w:color w:val="auto"/>
                <w:sz w:val="24"/>
                <w:szCs w:val="24"/>
                <w:highlight w:val="none"/>
              </w:rPr>
              <w:t>、一氧化碳24小时平均第95百分位数和臭氧日最大8小时滑动平均值的第90百分位数共6项污染物年均值浓度均优于国家环境空气质量二级标准</w:t>
            </w:r>
            <w:r>
              <w:rPr>
                <w:rFonts w:hint="default" w:ascii="Times New Roman" w:hAnsi="Times New Roman" w:eastAsia="宋体" w:cs="Times New Roman"/>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default" w:ascii="Times New Roman" w:hAnsi="Times New Roman" w:eastAsia="宋体" w:cs="Times New Roman"/>
                <w:bCs w:val="0"/>
                <w:color w:val="auto"/>
                <w:sz w:val="24"/>
                <w:szCs w:val="24"/>
                <w:highlight w:val="none"/>
              </w:rPr>
              <w:t>由《</w:t>
            </w:r>
            <w:r>
              <w:rPr>
                <w:rFonts w:hint="default" w:ascii="Times New Roman" w:hAnsi="Times New Roman" w:eastAsia="宋体" w:cs="Times New Roman"/>
                <w:bCs w:val="0"/>
                <w:color w:val="auto"/>
                <w:sz w:val="24"/>
                <w:szCs w:val="24"/>
                <w:highlight w:val="none"/>
                <w:lang w:val="en-US" w:eastAsia="zh-CN"/>
              </w:rPr>
              <w:t>伊春</w:t>
            </w:r>
            <w:r>
              <w:rPr>
                <w:rFonts w:hint="default" w:ascii="Times New Roman" w:hAnsi="Times New Roman" w:eastAsia="宋体" w:cs="Times New Roman"/>
                <w:bCs w:val="0"/>
                <w:color w:val="auto"/>
                <w:sz w:val="24"/>
                <w:szCs w:val="24"/>
                <w:highlight w:val="none"/>
              </w:rPr>
              <w:t>市生态环境质量</w:t>
            </w:r>
            <w:r>
              <w:rPr>
                <w:rFonts w:hint="eastAsia" w:ascii="Times New Roman" w:hAnsi="Times New Roman" w:cs="Times New Roman"/>
                <w:bCs w:val="0"/>
                <w:color w:val="auto"/>
                <w:sz w:val="24"/>
                <w:szCs w:val="24"/>
                <w:highlight w:val="none"/>
                <w:lang w:eastAsia="zh-CN"/>
              </w:rPr>
              <w:t>公报</w:t>
            </w:r>
            <w:r>
              <w:rPr>
                <w:rFonts w:hint="default" w:ascii="Times New Roman" w:hAnsi="Times New Roman" w:eastAsia="宋体" w:cs="Times New Roman"/>
                <w:bCs w:val="0"/>
                <w:color w:val="auto"/>
                <w:sz w:val="24"/>
                <w:szCs w:val="24"/>
                <w:highlight w:val="none"/>
              </w:rPr>
              <w:t>》（20</w:t>
            </w:r>
            <w:r>
              <w:rPr>
                <w:rFonts w:hint="default" w:ascii="Times New Roman" w:hAnsi="Times New Roman" w:eastAsia="宋体" w:cs="Times New Roman"/>
                <w:bCs w:val="0"/>
                <w:color w:val="auto"/>
                <w:sz w:val="24"/>
                <w:szCs w:val="24"/>
                <w:highlight w:val="none"/>
                <w:lang w:val="en-US" w:eastAsia="zh-CN"/>
              </w:rPr>
              <w:t>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年）可知，本项目所在区域属于达标区</w:t>
            </w:r>
            <w:r>
              <w:rPr>
                <w:rFonts w:hint="default" w:ascii="Times New Roman" w:hAnsi="Times New Roman" w:eastAsia="宋体" w:cs="Times New Roman"/>
                <w:bCs w:val="0"/>
                <w:color w:val="auto"/>
                <w:sz w:val="24"/>
                <w:szCs w:val="24"/>
                <w:highlight w:val="none"/>
                <w:lang w:eastAsia="zh-CN"/>
              </w:rPr>
              <w:t>。</w:t>
            </w:r>
          </w:p>
          <w:p>
            <w:pPr>
              <w:adjustRightInd w:val="0"/>
              <w:snapToGrid w:val="0"/>
              <w:spacing w:line="240" w:lineRule="auto"/>
              <w:ind w:firstLine="422"/>
              <w:jc w:val="center"/>
              <w:rPr>
                <w:b/>
                <w:bCs/>
                <w:color w:val="auto"/>
                <w:sz w:val="24"/>
                <w:szCs w:val="24"/>
                <w:highlight w:val="none"/>
              </w:rPr>
            </w:pPr>
            <w:r>
              <w:rPr>
                <w:b/>
                <w:bCs/>
                <w:color w:val="auto"/>
                <w:sz w:val="24"/>
                <w:szCs w:val="24"/>
                <w:highlight w:val="none"/>
              </w:rPr>
              <w:t xml:space="preserve">表3-1  </w:t>
            </w:r>
            <w:r>
              <w:rPr>
                <w:rFonts w:hint="eastAsia"/>
                <w:b/>
                <w:bCs/>
                <w:color w:val="auto"/>
                <w:sz w:val="24"/>
                <w:szCs w:val="24"/>
                <w:highlight w:val="none"/>
                <w:lang w:val="en-US" w:eastAsia="zh-CN"/>
              </w:rPr>
              <w:t>2024年环境空气各项</w:t>
            </w:r>
            <w:r>
              <w:rPr>
                <w:b/>
                <w:bCs/>
                <w:color w:val="auto"/>
                <w:sz w:val="24"/>
                <w:szCs w:val="24"/>
                <w:highlight w:val="none"/>
              </w:rPr>
              <w:t>污染物</w:t>
            </w:r>
            <w:r>
              <w:rPr>
                <w:rFonts w:hint="eastAsia"/>
                <w:b/>
                <w:bCs/>
                <w:color w:val="auto"/>
                <w:sz w:val="24"/>
                <w:szCs w:val="24"/>
                <w:highlight w:val="none"/>
                <w:lang w:val="en-US" w:eastAsia="zh-CN"/>
              </w:rPr>
              <w:t>达标情况</w:t>
            </w:r>
            <w:r>
              <w:rPr>
                <w:b/>
                <w:bCs/>
                <w:color w:val="auto"/>
                <w:sz w:val="24"/>
                <w:szCs w:val="24"/>
                <w:highlight w:val="none"/>
              </w:rPr>
              <w:t>一览表   单位：μg/m</w:t>
            </w:r>
            <w:r>
              <w:rPr>
                <w:b/>
                <w:bCs/>
                <w:color w:val="auto"/>
                <w:sz w:val="24"/>
                <w:szCs w:val="24"/>
                <w:highlight w:val="none"/>
                <w:vertAlign w:val="superscript"/>
              </w:rPr>
              <w:t>3</w:t>
            </w:r>
          </w:p>
          <w:tbl>
            <w:tblPr>
              <w:tblStyle w:val="30"/>
              <w:tblW w:w="83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3"/>
              <w:gridCol w:w="3286"/>
              <w:gridCol w:w="1039"/>
              <w:gridCol w:w="1207"/>
              <w:gridCol w:w="992"/>
              <w:gridCol w:w="1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污染物</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年评价指标</w:t>
                  </w:r>
                </w:p>
              </w:tc>
              <w:tc>
                <w:tcPr>
                  <w:tcW w:w="1039"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现状浓度</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标准值</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992"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占标率</w:t>
                  </w:r>
                  <w:r>
                    <w:rPr>
                      <w:rFonts w:ascii="Times New Roman" w:hAnsi="Times New Roman"/>
                      <w:color w:val="auto"/>
                      <w:sz w:val="21"/>
                      <w:szCs w:val="21"/>
                      <w:lang w:bidi="ar"/>
                    </w:rPr>
                    <w:t>/%</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2.5</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24</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35</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68.57</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10</w:t>
                  </w:r>
                </w:p>
              </w:tc>
              <w:tc>
                <w:tcPr>
                  <w:tcW w:w="3286"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34</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70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48.57</w:t>
                  </w:r>
                </w:p>
              </w:tc>
              <w:tc>
                <w:tcPr>
                  <w:tcW w:w="109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SO</w:t>
                  </w:r>
                  <w:r>
                    <w:rPr>
                      <w:rFonts w:ascii="Times New Roman" w:hAnsi="Times New Roman"/>
                      <w:color w:val="auto"/>
                      <w:sz w:val="21"/>
                      <w:szCs w:val="21"/>
                      <w:vertAlign w:val="subscript"/>
                      <w:lang w:bidi="ar"/>
                    </w:rPr>
                    <w:t>2</w:t>
                  </w:r>
                </w:p>
              </w:tc>
              <w:tc>
                <w:tcPr>
                  <w:tcW w:w="3286"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bidi="ar"/>
                    </w:rPr>
                    <w:t>7</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60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11.67</w:t>
                  </w:r>
                </w:p>
              </w:tc>
              <w:tc>
                <w:tcPr>
                  <w:tcW w:w="109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NO</w:t>
                  </w:r>
                  <w:r>
                    <w:rPr>
                      <w:rFonts w:ascii="Times New Roman" w:hAnsi="Times New Roman"/>
                      <w:color w:val="auto"/>
                      <w:sz w:val="21"/>
                      <w:szCs w:val="21"/>
                      <w:vertAlign w:val="subscript"/>
                      <w:lang w:bidi="ar"/>
                    </w:rPr>
                    <w:t>2</w:t>
                  </w:r>
                </w:p>
              </w:tc>
              <w:tc>
                <w:tcPr>
                  <w:tcW w:w="3286"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13</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40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32.50</w:t>
                  </w:r>
                </w:p>
              </w:tc>
              <w:tc>
                <w:tcPr>
                  <w:tcW w:w="109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vertAlign w:val="subscript"/>
                    </w:rPr>
                  </w:pPr>
                  <w:r>
                    <w:rPr>
                      <w:rFonts w:ascii="Times New Roman" w:hAnsi="Times New Roman"/>
                      <w:color w:val="auto"/>
                      <w:sz w:val="21"/>
                      <w:szCs w:val="21"/>
                      <w:lang w:bidi="ar"/>
                    </w:rPr>
                    <w:t>CO</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95</w:t>
                  </w:r>
                  <w:r>
                    <w:rPr>
                      <w:rFonts w:hint="eastAsia" w:ascii="Times New Roman" w:hAnsi="Times New Roman" w:cs="宋体"/>
                      <w:color w:val="auto"/>
                      <w:sz w:val="21"/>
                      <w:szCs w:val="21"/>
                      <w:lang w:bidi="ar"/>
                    </w:rPr>
                    <w:t>百分位数日平均浓度（</w:t>
                  </w:r>
                  <w:r>
                    <w:rPr>
                      <w:rFonts w:ascii="Times New Roman" w:hAnsi="Times New Roman"/>
                      <w:color w:val="auto"/>
                      <w:sz w:val="21"/>
                      <w:szCs w:val="21"/>
                      <w:lang w:bidi="ar"/>
                    </w:rPr>
                    <w:t>mg/m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0.8</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4.0</w:t>
                  </w:r>
                </w:p>
              </w:tc>
              <w:tc>
                <w:tcPr>
                  <w:tcW w:w="992"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2</w:t>
                  </w:r>
                  <w:r>
                    <w:rPr>
                      <w:rFonts w:hint="eastAsia" w:ascii="Times New Roman" w:hAnsi="Times New Roman"/>
                      <w:color w:val="auto"/>
                      <w:sz w:val="21"/>
                      <w:szCs w:val="21"/>
                      <w:lang w:val="en-US" w:eastAsia="zh-CN" w:bidi="ar"/>
                    </w:rPr>
                    <w:t>0</w:t>
                  </w:r>
                  <w:r>
                    <w:rPr>
                      <w:rFonts w:hint="eastAsia" w:ascii="Times New Roman" w:hAnsi="Times New Roman"/>
                      <w:color w:val="auto"/>
                      <w:sz w:val="21"/>
                      <w:szCs w:val="21"/>
                      <w:lang w:bidi="ar"/>
                    </w:rPr>
                    <w:t>.00</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O</w:t>
                  </w:r>
                  <w:r>
                    <w:rPr>
                      <w:rFonts w:ascii="Times New Roman" w:hAnsi="Times New Roman"/>
                      <w:color w:val="auto"/>
                      <w:sz w:val="21"/>
                      <w:szCs w:val="21"/>
                      <w:vertAlign w:val="subscript"/>
                      <w:lang w:bidi="ar"/>
                    </w:rPr>
                    <w:t>3</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90</w:t>
                  </w:r>
                  <w:r>
                    <w:rPr>
                      <w:rFonts w:hint="eastAsia" w:ascii="Times New Roman" w:hAnsi="Times New Roman" w:cs="宋体"/>
                      <w:color w:val="auto"/>
                      <w:sz w:val="21"/>
                      <w:szCs w:val="21"/>
                      <w:lang w:bidi="ar"/>
                    </w:rPr>
                    <w:t>百分位数</w:t>
                  </w:r>
                  <w:r>
                    <w:rPr>
                      <w:rFonts w:ascii="Times New Roman" w:hAnsi="Times New Roman"/>
                      <w:color w:val="auto"/>
                      <w:sz w:val="21"/>
                      <w:szCs w:val="21"/>
                      <w:lang w:bidi="ar"/>
                    </w:rPr>
                    <w:t>8h</w:t>
                  </w:r>
                  <w:r>
                    <w:rPr>
                      <w:rFonts w:hint="eastAsia" w:ascii="Times New Roman" w:hAnsi="Times New Roman" w:cs="宋体"/>
                      <w:color w:val="auto"/>
                      <w:sz w:val="21"/>
                      <w:szCs w:val="21"/>
                      <w:lang w:bidi="ar"/>
                    </w:rPr>
                    <w:t>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104</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160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65.00</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r>
              <w:rPr>
                <w:color w:val="auto"/>
                <w:sz w:val="18"/>
                <w:szCs w:val="18"/>
                <w:highlight w:val="none"/>
              </w:rPr>
              <w:t>注：</w:t>
            </w:r>
            <w:r>
              <w:rPr>
                <w:rFonts w:hint="eastAsia"/>
                <w:color w:val="auto"/>
                <w:sz w:val="18"/>
                <w:szCs w:val="18"/>
                <w:highlight w:val="none"/>
                <w:lang w:val="en-US" w:eastAsia="zh-CN"/>
              </w:rPr>
              <w:t>日均值第X百分位数按照《环境空气质量评价技术规范（试行）》（HJ 663-2013），</w:t>
            </w:r>
            <w:r>
              <w:rPr>
                <w:color w:val="auto"/>
                <w:sz w:val="18"/>
                <w:szCs w:val="18"/>
                <w:highlight w:val="none"/>
              </w:rPr>
              <w:t>二氧化氮、二氧化硫</w:t>
            </w:r>
            <w:r>
              <w:rPr>
                <w:rFonts w:hint="eastAsia"/>
                <w:color w:val="auto"/>
                <w:sz w:val="18"/>
                <w:szCs w:val="18"/>
                <w:highlight w:val="none"/>
                <w:lang w:val="en-US" w:eastAsia="zh-CN"/>
              </w:rPr>
              <w:t>X</w:t>
            </w:r>
            <w:r>
              <w:rPr>
                <w:color w:val="auto"/>
                <w:sz w:val="18"/>
                <w:szCs w:val="18"/>
                <w:highlight w:val="none"/>
              </w:rPr>
              <w:t>为98，PM</w:t>
            </w:r>
            <w:r>
              <w:rPr>
                <w:color w:val="auto"/>
                <w:sz w:val="18"/>
                <w:szCs w:val="18"/>
                <w:highlight w:val="none"/>
                <w:vertAlign w:val="subscript"/>
              </w:rPr>
              <w:t>2.5</w:t>
            </w:r>
            <w:r>
              <w:rPr>
                <w:color w:val="auto"/>
                <w:sz w:val="18"/>
                <w:szCs w:val="18"/>
                <w:highlight w:val="none"/>
              </w:rPr>
              <w:t>、PM</w:t>
            </w:r>
            <w:r>
              <w:rPr>
                <w:color w:val="auto"/>
                <w:sz w:val="18"/>
                <w:szCs w:val="18"/>
                <w:highlight w:val="none"/>
                <w:vertAlign w:val="subscript"/>
              </w:rPr>
              <w:t>10</w:t>
            </w:r>
            <w:r>
              <w:rPr>
                <w:color w:val="auto"/>
                <w:sz w:val="18"/>
                <w:szCs w:val="18"/>
                <w:highlight w:val="none"/>
              </w:rPr>
              <w:t>、一氧化碳</w:t>
            </w:r>
            <w:r>
              <w:rPr>
                <w:rFonts w:hint="eastAsia"/>
                <w:color w:val="auto"/>
                <w:sz w:val="18"/>
                <w:szCs w:val="18"/>
                <w:highlight w:val="none"/>
                <w:lang w:val="en-US" w:eastAsia="zh-CN"/>
              </w:rPr>
              <w:t>X</w:t>
            </w:r>
            <w:r>
              <w:rPr>
                <w:color w:val="auto"/>
                <w:sz w:val="18"/>
                <w:szCs w:val="18"/>
                <w:highlight w:val="none"/>
              </w:rPr>
              <w:t>为95，臭氧日最大8小时平均</w:t>
            </w:r>
            <w:r>
              <w:rPr>
                <w:rFonts w:hint="eastAsia"/>
                <w:color w:val="auto"/>
                <w:sz w:val="18"/>
                <w:szCs w:val="18"/>
                <w:highlight w:val="none"/>
                <w:lang w:val="en-US" w:eastAsia="zh-CN"/>
              </w:rPr>
              <w:t>X</w:t>
            </w:r>
            <w:r>
              <w:rPr>
                <w:color w:val="auto"/>
                <w:sz w:val="18"/>
                <w:szCs w:val="18"/>
                <w:highlight w:val="none"/>
              </w:rPr>
              <w:t>为90。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（2）其它污染物（TSP）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color w:val="auto"/>
                <w:kern w:val="2"/>
                <w:sz w:val="24"/>
                <w:szCs w:val="24"/>
                <w:lang w:val="en-US" w:eastAsia="zh-CN" w:bidi="ar-SA"/>
              </w:rPr>
              <w:t>根据《建设项目环境影响报告表编制技术指南 （污染影响类）（试行）》中“排放国家、地方环境空气质量标准中有标准限值要求的特征污染物时，引用建设项目周边5千米范围内近3年的现有监测数据，无相关数据的选择当季主导风向下风向1个点位补充不少于3天的监测数据。</w:t>
            </w:r>
            <w:r>
              <w:rPr>
                <w:rFonts w:hint="eastAsia" w:ascii="Times New Roman" w:hAnsi="Times New Roman" w:eastAsia="宋体" w:cs="Times New Roman"/>
                <w:color w:val="auto"/>
                <w:sz w:val="24"/>
                <w:szCs w:val="24"/>
                <w:vertAlign w:val="baseline"/>
                <w:lang w:val="en-US" w:eastAsia="zh-CN"/>
              </w:rPr>
              <w:t>NOx主要为NO和NO</w:t>
            </w:r>
            <w:r>
              <w:rPr>
                <w:rFonts w:hint="eastAsia" w:ascii="Times New Roman" w:hAnsi="Times New Roman" w:eastAsia="宋体" w:cs="Times New Roman"/>
                <w:color w:val="auto"/>
                <w:sz w:val="24"/>
                <w:szCs w:val="24"/>
                <w:vertAlign w:val="subscript"/>
                <w:lang w:val="en-US" w:eastAsia="zh-CN"/>
              </w:rPr>
              <w:t>2</w:t>
            </w:r>
            <w:r>
              <w:rPr>
                <w:rFonts w:hint="eastAsia" w:ascii="Times New Roman" w:hAnsi="Times New Roman" w:eastAsia="宋体" w:cs="Times New Roman"/>
                <w:color w:val="auto"/>
                <w:sz w:val="24"/>
                <w:szCs w:val="24"/>
                <w:vertAlign w:val="baseline"/>
                <w:lang w:val="en-US" w:eastAsia="zh-CN"/>
              </w:rPr>
              <w:t>，虽然为</w:t>
            </w:r>
            <w:r>
              <w:rPr>
                <w:rFonts w:hint="default" w:ascii="Times New Roman" w:hAnsi="Times New Roman" w:eastAsia="宋体" w:cs="Times New Roman"/>
                <w:b w:val="0"/>
                <w:bCs w:val="0"/>
                <w:color w:val="auto"/>
                <w:kern w:val="2"/>
                <w:sz w:val="24"/>
                <w:szCs w:val="24"/>
                <w:lang w:val="en-US" w:eastAsia="zh-CN" w:bidi="ar-SA"/>
              </w:rPr>
              <w:t>《环境空气质量标准》</w:t>
            </w:r>
            <w:r>
              <w:rPr>
                <w:rFonts w:hint="eastAsia" w:ascii="Times New Roman" w:hAnsi="Times New Roman" w:eastAsia="宋体" w:cs="Times New Roman"/>
                <w:b w:val="0"/>
                <w:bCs w:val="0"/>
                <w:color w:val="auto"/>
                <w:kern w:val="2"/>
                <w:sz w:val="24"/>
                <w:szCs w:val="24"/>
                <w:lang w:val="en-US" w:eastAsia="zh-CN" w:bidi="ar-SA"/>
              </w:rPr>
              <w:t>中的污染物，但NOx在空气中不稳定，会分解成NO</w:t>
            </w:r>
            <w:r>
              <w:rPr>
                <w:rFonts w:hint="eastAsia" w:ascii="Times New Roman" w:hAnsi="Times New Roman" w:eastAsia="宋体" w:cs="Times New Roman"/>
                <w:b w:val="0"/>
                <w:bCs w:val="0"/>
                <w:color w:val="auto"/>
                <w:kern w:val="2"/>
                <w:sz w:val="24"/>
                <w:szCs w:val="24"/>
                <w:vertAlign w:val="subscript"/>
                <w:lang w:val="en-US" w:eastAsia="zh-CN" w:bidi="ar-SA"/>
              </w:rPr>
              <w:t>2</w:t>
            </w:r>
            <w:r>
              <w:rPr>
                <w:rFonts w:hint="eastAsia" w:ascii="Times New Roman" w:hAnsi="Times New Roman" w:eastAsia="宋体" w:cs="Times New Roman"/>
                <w:b w:val="0"/>
                <w:bCs w:val="0"/>
                <w:color w:val="auto"/>
                <w:kern w:val="2"/>
                <w:sz w:val="24"/>
                <w:szCs w:val="24"/>
                <w:lang w:val="en-US" w:eastAsia="zh-CN" w:bidi="ar-SA"/>
              </w:rPr>
              <w:t>，因此不对NOx进行补充监测，</w:t>
            </w:r>
            <w:r>
              <w:rPr>
                <w:rFonts w:hint="eastAsia" w:cs="Times New Roman"/>
                <w:b w:val="0"/>
                <w:bCs w:val="0"/>
                <w:color w:val="auto"/>
                <w:kern w:val="2"/>
                <w:sz w:val="24"/>
                <w:szCs w:val="24"/>
                <w:lang w:val="en-US" w:eastAsia="zh-CN" w:bidi="ar-SA"/>
              </w:rPr>
              <w:t>NOx以NO</w:t>
            </w:r>
            <w:r>
              <w:rPr>
                <w:rFonts w:hint="eastAsia" w:cs="Times New Roman"/>
                <w:b w:val="0"/>
                <w:bCs w:val="0"/>
                <w:color w:val="auto"/>
                <w:kern w:val="2"/>
                <w:sz w:val="24"/>
                <w:szCs w:val="24"/>
                <w:vertAlign w:val="subscript"/>
                <w:lang w:val="en-US" w:eastAsia="zh-CN" w:bidi="ar-SA"/>
              </w:rPr>
              <w:t>2</w:t>
            </w:r>
            <w:r>
              <w:rPr>
                <w:rFonts w:hint="eastAsia" w:cs="Times New Roman"/>
                <w:b w:val="0"/>
                <w:bCs w:val="0"/>
                <w:color w:val="auto"/>
                <w:kern w:val="2"/>
                <w:sz w:val="24"/>
                <w:szCs w:val="24"/>
                <w:lang w:val="en-US" w:eastAsia="zh-CN" w:bidi="ar-SA"/>
              </w:rPr>
              <w:t>计，仅</w:t>
            </w:r>
            <w:r>
              <w:rPr>
                <w:rFonts w:hint="eastAsia" w:ascii="Times New Roman" w:hAnsi="Times New Roman" w:eastAsia="宋体" w:cs="Times New Roman"/>
                <w:b w:val="0"/>
                <w:bCs w:val="0"/>
                <w:color w:val="auto"/>
                <w:kern w:val="2"/>
                <w:sz w:val="24"/>
                <w:szCs w:val="24"/>
                <w:lang w:val="en-US" w:eastAsia="zh-CN" w:bidi="ar-SA"/>
              </w:rPr>
              <w:t>对其他污染物TSP进行补充监测，</w:t>
            </w:r>
            <w:r>
              <w:rPr>
                <w:rFonts w:hint="default" w:ascii="Times New Roman" w:hAnsi="Times New Roman" w:cs="Times New Roman"/>
                <w:color w:val="auto"/>
                <w:sz w:val="24"/>
                <w:szCs w:val="24"/>
                <w:lang w:val="en-US" w:eastAsia="zh-CN"/>
              </w:rPr>
              <w:t>本次评价委托黑龙江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有限公司进行特征污染物（TSP）的补充监测</w:t>
            </w:r>
            <w:r>
              <w:rPr>
                <w:rFonts w:hint="eastAsia" w:cs="Times New Roman"/>
                <w:color w:val="auto"/>
                <w:sz w:val="24"/>
                <w:szCs w:val="24"/>
                <w:lang w:val="en-US" w:eastAsia="zh-CN"/>
              </w:rPr>
              <w:t>，监测时间为2025年8月19日-8月21日</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zh-CN"/>
              </w:rPr>
              <w:t>监测点位置具体见表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-2和图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-1。</w:t>
            </w:r>
          </w:p>
          <w:p>
            <w:pPr>
              <w:pStyle w:val="100"/>
              <w:jc w:val="center"/>
              <w:rPr>
                <w:rFonts w:hint="default" w:ascii="Times New Roman" w:hAnsi="Times New Roman" w:cs="Times New Roman"/>
                <w:color w:val="auto"/>
              </w:rPr>
            </w:pPr>
            <w:r>
              <w:drawing>
                <wp:inline distT="0" distB="0" distL="0" distR="0">
                  <wp:extent cx="3930015" cy="3201670"/>
                  <wp:effectExtent l="0" t="0" r="13335" b="17780"/>
                  <wp:docPr id="31" name="图片 31" descr="d:\xwechat_files\wxid_wiad8k6i2fya21_6bac\temp\InputTemp\22382872-7cbe-4831-bfca-712ef85f1f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xwechat_files\wxid_wiad8k6i2fya21_6bac\temp\InputTemp\22382872-7cbe-4831-bfca-712ef85f1f9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53889" cy="3221251"/>
                          </a:xfrm>
                          <a:prstGeom prst="rect">
                            <a:avLst/>
                          </a:prstGeom>
                          <a:noFill/>
                          <a:ln>
                            <a:noFill/>
                          </a:ln>
                        </pic:spPr>
                      </pic:pic>
                    </a:graphicData>
                  </a:graphic>
                </wp:inline>
              </w:drawing>
            </w:r>
          </w:p>
          <w:p>
            <w:pPr>
              <w:pStyle w:val="113"/>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3-1 监测点位示意图</w:t>
            </w:r>
          </w:p>
          <w:p>
            <w:pPr>
              <w:pStyle w:val="11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2 项目环境空气现状监测布点一览表</w:t>
            </w:r>
          </w:p>
          <w:tbl>
            <w:tblPr>
              <w:tblStyle w:val="31"/>
              <w:tblW w:w="8504"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424"/>
              <w:gridCol w:w="1319"/>
              <w:gridCol w:w="839"/>
              <w:gridCol w:w="2046"/>
              <w:gridCol w:w="860"/>
              <w:gridCol w:w="1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57"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2743"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839"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2046"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860"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059"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57"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经度</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纬度</w:t>
                  </w:r>
                </w:p>
              </w:tc>
              <w:tc>
                <w:tcPr>
                  <w:tcW w:w="839"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p>
              </w:tc>
              <w:tc>
                <w:tcPr>
                  <w:tcW w:w="2046"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yellow"/>
                    </w:rPr>
                  </w:pPr>
                </w:p>
              </w:tc>
              <w:tc>
                <w:tcPr>
                  <w:tcW w:w="860"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yellow"/>
                    </w:rPr>
                  </w:pPr>
                </w:p>
              </w:tc>
              <w:tc>
                <w:tcPr>
                  <w:tcW w:w="1059"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57" w:type="dxa"/>
                  <w:noWrap w:val="0"/>
                  <w:vAlign w:val="center"/>
                </w:tcPr>
                <w:p>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129.52462545</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49.41210330</w:t>
                  </w:r>
                </w:p>
              </w:tc>
              <w:tc>
                <w:tcPr>
                  <w:tcW w:w="839" w:type="dxa"/>
                  <w:tcBorders>
                    <w:top w:val="single" w:color="000000" w:sz="8" w:space="0"/>
                  </w:tcBorders>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总悬浮颗粒物</w:t>
                  </w:r>
                </w:p>
              </w:tc>
              <w:tc>
                <w:tcPr>
                  <w:tcW w:w="2046" w:type="dxa"/>
                  <w:tcBorders>
                    <w:top w:val="single" w:color="000000" w:sz="8" w:space="0"/>
                  </w:tcBorders>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8</w:t>
                  </w:r>
                  <w:r>
                    <w:rPr>
                      <w:rFonts w:hint="eastAsia" w:ascii="Times New Roman" w:hAnsi="Times New Roman"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21</w:t>
                  </w:r>
                </w:p>
              </w:tc>
              <w:tc>
                <w:tcPr>
                  <w:tcW w:w="860" w:type="dxa"/>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E</w:t>
                  </w:r>
                </w:p>
              </w:tc>
              <w:tc>
                <w:tcPr>
                  <w:tcW w:w="1059" w:type="dxa"/>
                  <w:noWrap w:val="0"/>
                  <w:vAlign w:val="center"/>
                </w:tcPr>
                <w:p>
                  <w:pPr>
                    <w:pStyle w:val="10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10</w:t>
                  </w:r>
                </w:p>
              </w:tc>
            </w:tr>
          </w:tbl>
          <w:p>
            <w:pPr>
              <w:pStyle w:val="11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其他污染物环境质量现状监测结果表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24"/>
              <w:gridCol w:w="1319"/>
              <w:gridCol w:w="515"/>
              <w:gridCol w:w="486"/>
              <w:gridCol w:w="995"/>
              <w:gridCol w:w="1275"/>
              <w:gridCol w:w="749"/>
              <w:gridCol w:w="505"/>
              <w:gridCol w:w="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4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2743"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51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486"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评价时间</w:t>
                  </w:r>
                </w:p>
              </w:tc>
              <w:tc>
                <w:tcPr>
                  <w:tcW w:w="99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7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749"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50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49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4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经度</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纬度</w:t>
                  </w:r>
                </w:p>
              </w:tc>
              <w:tc>
                <w:tcPr>
                  <w:tcW w:w="51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486"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9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27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749"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50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49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43" w:type="dxa"/>
                  <w:noWrap w:val="0"/>
                  <w:vAlign w:val="center"/>
                </w:tcPr>
                <w:p>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129.52462545</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rPr>
                    <w:t>49.41210330</w:t>
                  </w:r>
                </w:p>
              </w:tc>
              <w:tc>
                <w:tcPr>
                  <w:tcW w:w="515" w:type="dxa"/>
                  <w:tcBorders>
                    <w:top w:val="single" w:color="000000" w:sz="8" w:space="0"/>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总悬浮颗粒物</w:t>
                  </w:r>
                </w:p>
              </w:tc>
              <w:tc>
                <w:tcPr>
                  <w:tcW w:w="486"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24小时平均值</w:t>
                  </w:r>
                </w:p>
              </w:tc>
              <w:tc>
                <w:tcPr>
                  <w:tcW w:w="995"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275"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075</w:t>
                  </w: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088</w:t>
                  </w:r>
                </w:p>
              </w:tc>
              <w:tc>
                <w:tcPr>
                  <w:tcW w:w="749"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29.33</w:t>
                  </w:r>
                </w:p>
              </w:tc>
              <w:tc>
                <w:tcPr>
                  <w:tcW w:w="505"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493"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115"/>
              <w:tabs>
                <w:tab w:val="left" w:pos="0"/>
              </w:tabs>
              <w:spacing w:line="360" w:lineRule="auto"/>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-3可知，本项目所在区域在监测时段内</w:t>
            </w:r>
            <w:r>
              <w:rPr>
                <w:rFonts w:hint="default" w:ascii="Times New Roman" w:hAnsi="Times New Roman" w:eastAsia="宋体" w:cs="Times New Roman"/>
                <w:color w:val="auto"/>
                <w:sz w:val="24"/>
                <w:szCs w:val="24"/>
                <w:highlight w:val="none"/>
                <w:lang w:eastAsia="zh-CN"/>
              </w:rPr>
              <w:t>，总悬浮颗粒物</w:t>
            </w:r>
            <w:r>
              <w:rPr>
                <w:rFonts w:hint="default" w:ascii="Times New Roman" w:hAnsi="Times New Roman" w:eastAsia="宋体" w:cs="Times New Roman"/>
                <w:color w:val="auto"/>
                <w:sz w:val="24"/>
                <w:highlight w:val="none"/>
                <w:lang w:val="en-US" w:eastAsia="zh-CN"/>
              </w:rPr>
              <w:t>监测结果无超标现象，达到了《环境空气质量标准》（GB3095-2012）二级标准要求</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黑龙江</w:t>
            </w:r>
            <w:r>
              <w:rPr>
                <w:rFonts w:hint="eastAsia"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年伊春市生态环境质量公报》，本项目附近地表水体属于</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水质目标</w:t>
            </w:r>
            <w:r>
              <w:rPr>
                <w:rFonts w:hint="default" w:ascii="Times New Roman" w:hAnsi="Times New Roman" w:eastAsia="宋体" w:cs="Times New Roman"/>
                <w:color w:val="auto"/>
                <w:kern w:val="0"/>
                <w:sz w:val="24"/>
                <w:szCs w:val="24"/>
                <w:highlight w:val="none"/>
                <w:u w:val="none" w:color="000000"/>
                <w:lang w:val="en-US" w:eastAsia="zh-CN" w:bidi="ar-SA"/>
              </w:rPr>
              <w:t>为</w:t>
            </w:r>
            <w:r>
              <w:rPr>
                <w:rFonts w:hint="eastAsia" w:cs="Times New Roman"/>
                <w:color w:val="auto"/>
                <w:kern w:val="0"/>
                <w:sz w:val="24"/>
                <w:szCs w:val="24"/>
                <w:highlight w:val="none"/>
                <w:u w:val="none" w:color="000000"/>
                <w:lang w:val="en-US" w:eastAsia="zh-CN" w:bidi="ar-SA"/>
              </w:rPr>
              <w:t>Ⅲ</w:t>
            </w:r>
            <w:r>
              <w:rPr>
                <w:rFonts w:hint="default" w:ascii="Times New Roman" w:hAnsi="Times New Roman" w:eastAsia="宋体" w:cs="Times New Roman"/>
                <w:color w:val="auto"/>
                <w:kern w:val="0"/>
                <w:sz w:val="24"/>
                <w:szCs w:val="24"/>
                <w:highlight w:val="none"/>
                <w:u w:val="none" w:color="000000"/>
                <w:lang w:val="en-US" w:eastAsia="zh-CN" w:bidi="ar-SA"/>
              </w:rPr>
              <w:t>类水体。该监测断面202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为</w:t>
            </w:r>
            <w:r>
              <w:rPr>
                <w:rFonts w:hint="eastAsia" w:ascii="Times New Roman" w:hAnsi="Times New Roman" w:eastAsia="宋体" w:cs="Times New Roman"/>
                <w:color w:val="auto"/>
                <w:kern w:val="0"/>
                <w:sz w:val="24"/>
                <w:szCs w:val="24"/>
                <w:highlight w:val="none"/>
                <w:u w:val="none" w:color="000000"/>
                <w:lang w:val="en-US" w:eastAsia="zh-CN" w:bidi="ar-SA"/>
              </w:rPr>
              <w:t>Ⅳ</w:t>
            </w:r>
            <w:r>
              <w:rPr>
                <w:rFonts w:hint="default" w:ascii="Times New Roman" w:hAnsi="Times New Roman" w:eastAsia="宋体" w:cs="Times New Roman"/>
                <w:color w:val="auto"/>
                <w:kern w:val="0"/>
                <w:sz w:val="24"/>
                <w:szCs w:val="24"/>
                <w:highlight w:val="none"/>
                <w:u w:val="none" w:color="000000"/>
                <w:lang w:val="en-US" w:eastAsia="zh-CN" w:bidi="ar-SA"/>
              </w:rPr>
              <w:t>类</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eastAsia" w:cs="Times New Roman"/>
                <w:color w:val="auto"/>
                <w:kern w:val="0"/>
                <w:sz w:val="24"/>
                <w:szCs w:val="24"/>
                <w:highlight w:val="none"/>
                <w:u w:val="none" w:color="000000"/>
                <w:lang w:val="en-US" w:eastAsia="zh-CN" w:bidi="ar-SA"/>
              </w:rPr>
              <w:t>中Ⅲ类标准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，超标原因主要为受本底值影响。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3、声环境质量现状</w:t>
            </w:r>
          </w:p>
          <w:p>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根据《建设项目环境影响报告表编制技术指南（污染影响类）（试行）》</w:t>
            </w:r>
            <w:r>
              <w:rPr>
                <w:rFonts w:hint="eastAsia" w:cs="宋体"/>
                <w:color w:val="auto"/>
                <w:kern w:val="0"/>
                <w:sz w:val="24"/>
              </w:rPr>
              <w:t>厂界外周边50米范围内存在声环境保护目标的建设项目，应监测保护目标声环境质量现状并评价达标情况。</w:t>
            </w:r>
            <w:r>
              <w:rPr>
                <w:rFonts w:hint="eastAsia" w:cs="宋体"/>
                <w:color w:val="auto"/>
                <w:kern w:val="0"/>
                <w:sz w:val="24"/>
                <w:lang w:val="en-US" w:eastAsia="zh-CN"/>
              </w:rPr>
              <w:t>本项目厂界西侧、北侧、南侧均存在声环境敏感目标，</w:t>
            </w:r>
            <w:r>
              <w:rPr>
                <w:rFonts w:cs="宋体"/>
                <w:color w:val="auto"/>
                <w:kern w:val="0"/>
                <w:sz w:val="24"/>
              </w:rPr>
              <w:t>本项目敏感点声环境质量现状来源于</w:t>
            </w:r>
            <w:r>
              <w:rPr>
                <w:rFonts w:hint="default" w:ascii="Times New Roman" w:hAnsi="Times New Roman" w:cs="Times New Roman"/>
                <w:color w:val="auto"/>
                <w:sz w:val="24"/>
                <w:szCs w:val="24"/>
                <w:lang w:val="en-US" w:eastAsia="zh-CN"/>
              </w:rPr>
              <w:t>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w:t>
            </w:r>
            <w:r>
              <w:rPr>
                <w:rFonts w:hint="eastAsia" w:cs="宋体"/>
                <w:color w:val="auto"/>
                <w:kern w:val="0"/>
                <w:sz w:val="24"/>
                <w:lang w:val="en-US" w:eastAsia="zh-CN"/>
              </w:rPr>
              <w:t>出具的</w:t>
            </w:r>
            <w:r>
              <w:rPr>
                <w:rFonts w:hint="eastAsia" w:cs="宋体"/>
                <w:color w:val="auto"/>
                <w:kern w:val="0"/>
                <w:sz w:val="24"/>
              </w:rPr>
              <w:t>监测</w:t>
            </w:r>
            <w:r>
              <w:rPr>
                <w:rFonts w:hint="eastAsia" w:cs="宋体"/>
                <w:color w:val="auto"/>
                <w:kern w:val="0"/>
                <w:sz w:val="24"/>
                <w:lang w:val="en-US" w:eastAsia="zh-CN"/>
              </w:rPr>
              <w:t>报告，噪声监测时间为2025年8月5日</w:t>
            </w:r>
            <w:r>
              <w:rPr>
                <w:rFonts w:cs="宋体"/>
                <w:color w:val="auto"/>
                <w:kern w:val="0"/>
                <w:sz w:val="24"/>
              </w:rPr>
              <w:t>。</w:t>
            </w:r>
            <w:r>
              <w:rPr>
                <w:rFonts w:hint="eastAsia" w:cs="宋体"/>
                <w:color w:val="auto"/>
                <w:kern w:val="0"/>
                <w:sz w:val="24"/>
                <w:lang w:val="en-US" w:eastAsia="zh-CN"/>
              </w:rPr>
              <w:t>环境监测点位示意图见表3-1，监测结果如下：</w:t>
            </w:r>
          </w:p>
          <w:p>
            <w:pPr>
              <w:jc w:val="center"/>
              <w:rPr>
                <w:b/>
                <w:bCs/>
                <w:color w:val="auto"/>
                <w:sz w:val="24"/>
                <w:szCs w:val="32"/>
              </w:rPr>
            </w:pPr>
            <w:r>
              <w:rPr>
                <w:b/>
                <w:bCs/>
                <w:color w:val="auto"/>
                <w:sz w:val="24"/>
                <w:szCs w:val="32"/>
              </w:rPr>
              <w:t>表3-</w:t>
            </w:r>
            <w:r>
              <w:rPr>
                <w:rFonts w:hint="eastAsia"/>
                <w:b/>
                <w:bCs/>
                <w:color w:val="auto"/>
                <w:sz w:val="24"/>
                <w:szCs w:val="32"/>
                <w:lang w:val="en-US" w:eastAsia="zh-CN"/>
              </w:rPr>
              <w:t xml:space="preserve">4 </w:t>
            </w:r>
            <w:r>
              <w:rPr>
                <w:b/>
                <w:bCs/>
                <w:color w:val="auto"/>
                <w:sz w:val="24"/>
                <w:szCs w:val="32"/>
              </w:rPr>
              <w:t>声环境质量监测结果</w:t>
            </w:r>
          </w:p>
          <w:tbl>
            <w:tblPr>
              <w:tblStyle w:val="30"/>
              <w:tblW w:w="853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2410"/>
              <w:gridCol w:w="2268"/>
              <w:gridCol w:w="1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668"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bookmarkStart w:id="25" w:name="_Toc889"/>
                  <w:bookmarkStart w:id="26" w:name="_Toc746"/>
                  <w:r>
                    <w:rPr>
                      <w:rFonts w:hint="eastAsia" w:ascii="Times New Roman" w:hAnsiTheme="minorEastAsia" w:eastAsiaTheme="minorEastAsia"/>
                      <w:b/>
                      <w:sz w:val="21"/>
                      <w:szCs w:val="21"/>
                    </w:rPr>
                    <w:t>检测点位</w:t>
                  </w:r>
                </w:p>
              </w:tc>
              <w:tc>
                <w:tcPr>
                  <w:tcW w:w="4678" w:type="dxa"/>
                  <w:gridSpan w:val="2"/>
                  <w:tcBorders>
                    <w:top w:val="single" w:color="auto" w:sz="12" w:space="0"/>
                    <w:bottom w:val="single" w:color="auto" w:sz="4"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检测结果</w:t>
                  </w:r>
                </w:p>
              </w:tc>
              <w:tc>
                <w:tcPr>
                  <w:tcW w:w="1192"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668"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c>
                <w:tcPr>
                  <w:tcW w:w="4678" w:type="dxa"/>
                  <w:gridSpan w:val="2"/>
                  <w:tcBorders>
                    <w:top w:val="single" w:color="auto" w:sz="4" w:space="0"/>
                    <w:bottom w:val="single" w:color="auto" w:sz="4"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2</w:t>
                  </w:r>
                  <w:r>
                    <w:rPr>
                      <w:rFonts w:ascii="Times New Roman" w:hAnsiTheme="minorEastAsia" w:eastAsiaTheme="minorEastAsia"/>
                      <w:b/>
                      <w:sz w:val="21"/>
                      <w:szCs w:val="21"/>
                    </w:rPr>
                    <w:t>025.08.19</w:t>
                  </w:r>
                </w:p>
              </w:tc>
              <w:tc>
                <w:tcPr>
                  <w:tcW w:w="1192"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668"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c>
                <w:tcPr>
                  <w:tcW w:w="2410"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昼间</w:t>
                  </w:r>
                </w:p>
              </w:tc>
              <w:tc>
                <w:tcPr>
                  <w:tcW w:w="2268"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夜间</w:t>
                  </w:r>
                </w:p>
              </w:tc>
              <w:tc>
                <w:tcPr>
                  <w:tcW w:w="1192"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8" w:type="dxa"/>
                  <w:tcBorders>
                    <w:top w:val="single" w:color="auto" w:sz="12" w:space="0"/>
                  </w:tcBorders>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bookmarkStart w:id="27" w:name="OLE_LINK1"/>
                  <w:r>
                    <w:rPr>
                      <w:rFonts w:hint="eastAsia" w:ascii="Times New Roman" w:hAnsi="Times New Roman" w:eastAsia="宋体"/>
                      <w:color w:val="000000" w:themeColor="text1"/>
                      <w:sz w:val="21"/>
                      <w:szCs w:val="21"/>
                      <w14:textFill>
                        <w14:solidFill>
                          <w14:schemeClr w14:val="tx1"/>
                        </w14:solidFill>
                      </w14:textFill>
                    </w:rPr>
                    <w:t>厂界</w:t>
                  </w:r>
                  <w:bookmarkEnd w:id="27"/>
                  <w:r>
                    <w:rPr>
                      <w:rFonts w:hint="eastAsia" w:ascii="Times New Roman" w:hAnsi="Times New Roman" w:eastAsia="宋体"/>
                      <w:color w:val="000000" w:themeColor="text1"/>
                      <w:sz w:val="21"/>
                      <w:szCs w:val="21"/>
                      <w14:textFill>
                        <w14:solidFill>
                          <w14:schemeClr w14:val="tx1"/>
                        </w14:solidFill>
                      </w14:textFill>
                    </w:rPr>
                    <w:t>西侧居民1#</w:t>
                  </w:r>
                </w:p>
              </w:tc>
              <w:tc>
                <w:tcPr>
                  <w:tcW w:w="2410" w:type="dxa"/>
                  <w:tcBorders>
                    <w:top w:val="single" w:color="auto" w:sz="12" w:space="0"/>
                  </w:tcBorders>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53</w:t>
                  </w:r>
                </w:p>
              </w:tc>
              <w:tc>
                <w:tcPr>
                  <w:tcW w:w="2268" w:type="dxa"/>
                  <w:tcBorders>
                    <w:top w:val="single" w:color="auto" w:sz="12" w:space="0"/>
                  </w:tcBorders>
                  <w:vAlign w:val="center"/>
                </w:tcPr>
                <w:p>
                  <w:pPr>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40</w:t>
                  </w:r>
                </w:p>
              </w:tc>
              <w:tc>
                <w:tcPr>
                  <w:tcW w:w="1192" w:type="dxa"/>
                  <w:vMerge w:val="restart"/>
                  <w:tcBorders>
                    <w:top w:val="single" w:color="auto" w:sz="12" w:space="0"/>
                  </w:tcBorders>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8" w:type="dxa"/>
                  <w:vAlign w:val="center"/>
                </w:tcPr>
                <w:p>
                  <w:pPr>
                    <w:adjustRightInd/>
                    <w:snapToGrid/>
                    <w:spacing w:after="0"/>
                    <w:contextualSpacing/>
                    <w:jc w:val="center"/>
                    <w:rPr>
                      <w:rFonts w:ascii="Times New Roman" w:hAnsi="Times New Roman" w:eastAsia="宋体"/>
                      <w:sz w:val="21"/>
                      <w:szCs w:val="21"/>
                    </w:rPr>
                  </w:pPr>
                  <w:r>
                    <w:rPr>
                      <w:rFonts w:hint="eastAsia" w:ascii="Times New Roman" w:hAnsi="Times New Roman" w:eastAsia="宋体"/>
                      <w:sz w:val="21"/>
                      <w:szCs w:val="21"/>
                    </w:rPr>
                    <w:t>厂界北侧居民2#</w:t>
                  </w:r>
                </w:p>
              </w:tc>
              <w:tc>
                <w:tcPr>
                  <w:tcW w:w="2410"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2</w:t>
                  </w:r>
                </w:p>
              </w:tc>
              <w:tc>
                <w:tcPr>
                  <w:tcW w:w="2268"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r>
                    <w:rPr>
                      <w:rFonts w:ascii="Times New Roman" w:hAnsi="Times New Roman" w:eastAsia="宋体"/>
                      <w:color w:val="000000" w:themeColor="text1"/>
                      <w:sz w:val="21"/>
                      <w:szCs w:val="21"/>
                      <w14:textFill>
                        <w14:solidFill>
                          <w14:schemeClr w14:val="tx1"/>
                        </w14:solidFill>
                      </w14:textFill>
                    </w:rPr>
                    <w:t>0</w:t>
                  </w:r>
                </w:p>
              </w:tc>
              <w:tc>
                <w:tcPr>
                  <w:tcW w:w="1192" w:type="dxa"/>
                  <w:vMerge w:val="continue"/>
                  <w:vAlign w:val="center"/>
                </w:tcPr>
                <w:p>
                  <w:pPr>
                    <w:spacing w:after="0"/>
                    <w:jc w:val="center"/>
                    <w:rPr>
                      <w:rFonts w:ascii="Times New Roman" w:hAnsi="Times New Roman"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8" w:type="dxa"/>
                  <w:vAlign w:val="center"/>
                </w:tcPr>
                <w:p>
                  <w:pPr>
                    <w:adjustRightInd/>
                    <w:snapToGrid/>
                    <w:spacing w:after="0"/>
                    <w:contextualSpacing/>
                    <w:jc w:val="center"/>
                    <w:rPr>
                      <w:rFonts w:ascii="Times New Roman" w:hAnsi="Times New Roman" w:eastAsia="宋体"/>
                      <w:sz w:val="21"/>
                      <w:szCs w:val="21"/>
                    </w:rPr>
                  </w:pPr>
                  <w:r>
                    <w:rPr>
                      <w:rFonts w:hint="eastAsia" w:ascii="Times New Roman" w:hAnsi="Times New Roman" w:eastAsia="宋体"/>
                      <w:sz w:val="21"/>
                      <w:szCs w:val="21"/>
                    </w:rPr>
                    <w:t>厂界南侧居民</w:t>
                  </w:r>
                  <w:r>
                    <w:rPr>
                      <w:rFonts w:hint="eastAsia" w:ascii="Times New Roman" w:hAnsi="Times New Roman" w:eastAsia="宋体"/>
                      <w:sz w:val="21"/>
                      <w:szCs w:val="21"/>
                      <w:lang w:val="en-US" w:eastAsia="zh-CN"/>
                    </w:rPr>
                    <w:t>3</w:t>
                  </w:r>
                  <w:r>
                    <w:rPr>
                      <w:rFonts w:hint="eastAsia" w:ascii="Times New Roman" w:hAnsi="Times New Roman" w:eastAsia="宋体"/>
                      <w:sz w:val="21"/>
                      <w:szCs w:val="21"/>
                    </w:rPr>
                    <w:t>#</w:t>
                  </w:r>
                </w:p>
              </w:tc>
              <w:tc>
                <w:tcPr>
                  <w:tcW w:w="2410"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2</w:t>
                  </w:r>
                </w:p>
              </w:tc>
              <w:tc>
                <w:tcPr>
                  <w:tcW w:w="2268"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9</w:t>
                  </w:r>
                </w:p>
              </w:tc>
              <w:tc>
                <w:tcPr>
                  <w:tcW w:w="1192" w:type="dxa"/>
                  <w:vMerge w:val="continue"/>
                  <w:vAlign w:val="center"/>
                </w:tcPr>
                <w:p>
                  <w:pPr>
                    <w:spacing w:after="0"/>
                    <w:jc w:val="center"/>
                    <w:rPr>
                      <w:rFonts w:ascii="Times New Roman" w:hAnsi="Times New Roman" w:eastAsiaTheme="minorEastAsia"/>
                      <w:sz w:val="21"/>
                      <w:szCs w:val="21"/>
                    </w:rPr>
                  </w:pPr>
                </w:p>
              </w:tc>
            </w:tr>
          </w:tbl>
          <w:p>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eastAsia="宋体" w:cs="宋体"/>
                <w:b w:val="0"/>
                <w:bCs w:val="0"/>
                <w:color w:val="auto"/>
                <w:kern w:val="0"/>
                <w:sz w:val="24"/>
                <w:szCs w:val="24"/>
                <w:lang w:val="en-US" w:eastAsia="zh-CN" w:bidi="ar-SA"/>
              </w:rPr>
            </w:pPr>
            <w:r>
              <w:rPr>
                <w:rFonts w:ascii="Times New Roman" w:hAnsi="Times New Roman" w:eastAsia="宋体" w:cs="宋体"/>
                <w:b w:val="0"/>
                <w:bCs w:val="0"/>
                <w:color w:val="auto"/>
                <w:kern w:val="0"/>
                <w:sz w:val="24"/>
                <w:szCs w:val="24"/>
                <w:lang w:val="en-US" w:eastAsia="zh-CN" w:bidi="ar-SA"/>
              </w:rPr>
              <w:t>由上表可知，本项目</w:t>
            </w:r>
            <w:r>
              <w:rPr>
                <w:rFonts w:hint="eastAsia" w:ascii="Times New Roman" w:hAnsi="Times New Roman" w:eastAsia="宋体" w:cs="宋体"/>
                <w:b w:val="0"/>
                <w:bCs w:val="0"/>
                <w:color w:val="auto"/>
                <w:kern w:val="0"/>
                <w:sz w:val="24"/>
                <w:szCs w:val="24"/>
                <w:lang w:val="en-US" w:eastAsia="zh-CN" w:bidi="ar-SA"/>
              </w:rPr>
              <w:t>厂界北侧、南侧和西侧居民</w:t>
            </w:r>
            <w:r>
              <w:rPr>
                <w:rFonts w:ascii="Times New Roman" w:hAnsi="Times New Roman" w:eastAsia="宋体" w:cs="宋体"/>
                <w:b w:val="0"/>
                <w:bCs w:val="0"/>
                <w:color w:val="auto"/>
                <w:kern w:val="0"/>
                <w:sz w:val="24"/>
                <w:szCs w:val="24"/>
                <w:lang w:val="en-US" w:eastAsia="zh-CN" w:bidi="ar-SA"/>
              </w:rPr>
              <w:t>声环境监测点昼夜间的等效声级满足《声环境质量标准》（GB3096-2008）中2类区标准要求</w:t>
            </w:r>
            <w:r>
              <w:rPr>
                <w:rFonts w:hint="eastAsia" w:ascii="Times New Roman" w:hAnsi="Times New Roman" w:eastAsia="宋体" w:cs="宋体"/>
                <w:b w:val="0"/>
                <w:bCs w:val="0"/>
                <w:color w:val="auto"/>
                <w:kern w:val="0"/>
                <w:sz w:val="24"/>
                <w:szCs w:val="24"/>
                <w:lang w:val="en-US" w:eastAsia="zh-CN" w:bidi="ar-SA"/>
              </w:rPr>
              <w:t>，</w:t>
            </w:r>
            <w:r>
              <w:rPr>
                <w:rFonts w:ascii="Times New Roman" w:hAnsi="Times New Roman" w:eastAsia="宋体" w:cs="宋体"/>
                <w:b w:val="0"/>
                <w:bCs w:val="0"/>
                <w:color w:val="auto"/>
                <w:kern w:val="0"/>
                <w:sz w:val="24"/>
                <w:szCs w:val="24"/>
                <w:lang w:val="en-US" w:eastAsia="zh-CN" w:bidi="ar-SA"/>
              </w:rPr>
              <w:t>评价区域声环境保护目标声环境质量现状达标。</w:t>
            </w:r>
            <w:bookmarkEnd w:id="25"/>
            <w:bookmarkEnd w:id="26"/>
          </w:p>
          <w:p>
            <w:pPr>
              <w:snapToGrid w:val="0"/>
              <w:spacing w:line="360" w:lineRule="auto"/>
              <w:ind w:firstLine="480" w:firstLineChars="200"/>
              <w:rPr>
                <w:rFonts w:hint="eastAsia"/>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52" w:type="dxa"/>
            <w:noWrap w:val="0"/>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Cs w:val="21"/>
              </w:rPr>
            </w:pPr>
            <w:r>
              <w:rPr>
                <w:color w:val="auto"/>
                <w:kern w:val="0"/>
                <w:sz w:val="24"/>
              </w:rPr>
              <w:t>目标</w:t>
            </w:r>
          </w:p>
        </w:tc>
        <w:tc>
          <w:tcPr>
            <w:tcW w:w="8609" w:type="dxa"/>
            <w:noWrap w:val="0"/>
            <w:vAlign w:val="center"/>
          </w:tcPr>
          <w:p>
            <w:pPr>
              <w:numPr>
                <w:ilvl w:val="0"/>
                <w:numId w:val="0"/>
              </w:numPr>
              <w:spacing w:line="360" w:lineRule="auto"/>
              <w:ind w:firstLine="498" w:firstLineChars="200"/>
              <w:rPr>
                <w:b/>
                <w:bCs/>
                <w:color w:val="auto"/>
                <w:spacing w:val="4"/>
                <w:sz w:val="24"/>
              </w:rPr>
            </w:pPr>
            <w:r>
              <w:rPr>
                <w:b/>
                <w:bCs/>
                <w:color w:val="auto"/>
                <w:spacing w:val="4"/>
                <w:kern w:val="2"/>
                <w:sz w:val="24"/>
                <w:szCs w:val="24"/>
                <w:lang w:val="en-US" w:eastAsia="zh-CN" w:bidi="ar-SA"/>
              </w:rPr>
              <w:t>1、</w:t>
            </w:r>
            <w:r>
              <w:rPr>
                <w:b/>
                <w:bCs/>
                <w:color w:val="auto"/>
                <w:spacing w:val="4"/>
                <w:sz w:val="24"/>
              </w:rPr>
              <w:t>环境空气保护目标</w:t>
            </w:r>
          </w:p>
          <w:p>
            <w:pPr>
              <w:spacing w:line="360" w:lineRule="auto"/>
              <w:ind w:firstLine="496" w:firstLineChars="200"/>
              <w:jc w:val="left"/>
              <w:rPr>
                <w:color w:val="auto"/>
                <w:spacing w:val="4"/>
                <w:sz w:val="24"/>
              </w:rPr>
            </w:pPr>
            <w:r>
              <w:rPr>
                <w:color w:val="auto"/>
                <w:spacing w:val="4"/>
                <w:sz w:val="24"/>
              </w:rPr>
              <w:t>本项目厂界</w:t>
            </w:r>
            <w:r>
              <w:rPr>
                <w:rFonts w:hint="eastAsia"/>
                <w:color w:val="auto"/>
                <w:spacing w:val="4"/>
                <w:sz w:val="24"/>
              </w:rPr>
              <w:t>外</w:t>
            </w:r>
            <w:r>
              <w:rPr>
                <w:color w:val="auto"/>
                <w:spacing w:val="4"/>
                <w:sz w:val="24"/>
              </w:rPr>
              <w:t>500米范围内</w:t>
            </w:r>
            <w:r>
              <w:rPr>
                <w:rFonts w:hint="eastAsia"/>
                <w:color w:val="auto"/>
                <w:spacing w:val="4"/>
                <w:sz w:val="24"/>
              </w:rPr>
              <w:t>无</w:t>
            </w:r>
            <w:r>
              <w:rPr>
                <w:color w:val="auto"/>
                <w:spacing w:val="4"/>
                <w:sz w:val="24"/>
              </w:rPr>
              <w:t>自然保护区、风景名胜区，主要环境保护目标为</w:t>
            </w:r>
            <w:r>
              <w:rPr>
                <w:rFonts w:hint="eastAsia"/>
                <w:color w:val="auto"/>
                <w:spacing w:val="4"/>
                <w:sz w:val="24"/>
                <w:lang w:val="en-US" w:eastAsia="zh-CN"/>
              </w:rPr>
              <w:t>沪嘉乡居民</w:t>
            </w:r>
            <w:r>
              <w:rPr>
                <w:color w:val="auto"/>
                <w:spacing w:val="4"/>
                <w:sz w:val="24"/>
              </w:rPr>
              <w:t>，环境空气保护目标详见下表。</w:t>
            </w:r>
          </w:p>
          <w:p>
            <w:pPr>
              <w:pStyle w:val="95"/>
              <w:numPr>
                <w:ilvl w:val="0"/>
                <w:numId w:val="0"/>
              </w:numPr>
              <w:adjustRightInd/>
              <w:snapToGrid/>
              <w:spacing w:line="240" w:lineRule="auto"/>
              <w:ind w:left="0" w:leftChars="0" w:firstLine="0" w:firstLineChars="0"/>
              <w:rPr>
                <w:color w:val="auto"/>
              </w:rPr>
            </w:pPr>
            <w:r>
              <w:rPr>
                <w:rFonts w:hint="eastAsia"/>
                <w:b/>
                <w:bCs/>
                <w:color w:val="auto"/>
                <w:kern w:val="0"/>
                <w:sz w:val="24"/>
                <w:szCs w:val="21"/>
                <w:lang w:val="en-US" w:eastAsia="zh-CN" w:bidi="ar-SA"/>
              </w:rPr>
              <w:t>表3-5</w:t>
            </w:r>
            <w:r>
              <w:rPr>
                <w:rFonts w:hint="eastAsia"/>
                <w:b/>
                <w:color w:val="auto"/>
                <w:szCs w:val="24"/>
              </w:rPr>
              <w:t xml:space="preserve">   </w:t>
            </w:r>
            <w:r>
              <w:rPr>
                <w:b/>
                <w:color w:val="auto"/>
                <w:szCs w:val="24"/>
              </w:rPr>
              <w:t xml:space="preserve">   </w:t>
            </w:r>
            <w:r>
              <w:rPr>
                <w:rFonts w:hint="eastAsia"/>
                <w:b/>
                <w:color w:val="auto"/>
                <w:szCs w:val="24"/>
              </w:rPr>
              <w:t>环境</w:t>
            </w:r>
            <w:r>
              <w:rPr>
                <w:rFonts w:hint="eastAsia"/>
                <w:b/>
                <w:color w:val="auto"/>
                <w:szCs w:val="24"/>
                <w:lang w:val="en-US" w:eastAsia="zh-CN"/>
              </w:rPr>
              <w:t>空气</w:t>
            </w:r>
            <w:r>
              <w:rPr>
                <w:rFonts w:hint="eastAsia"/>
                <w:b/>
                <w:color w:val="auto"/>
                <w:szCs w:val="24"/>
              </w:rPr>
              <w:t>保护目标一览表</w:t>
            </w:r>
          </w:p>
          <w:tbl>
            <w:tblPr>
              <w:tblStyle w:val="30"/>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469"/>
              <w:gridCol w:w="1426"/>
              <w:gridCol w:w="870"/>
              <w:gridCol w:w="712"/>
              <w:gridCol w:w="999"/>
              <w:gridCol w:w="855"/>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名称</w:t>
                  </w:r>
                </w:p>
              </w:tc>
              <w:tc>
                <w:tcPr>
                  <w:tcW w:w="2895" w:type="dxa"/>
                  <w:gridSpan w:val="2"/>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坐标</w:t>
                  </w:r>
                </w:p>
              </w:tc>
              <w:tc>
                <w:tcPr>
                  <w:tcW w:w="870"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保护</w:t>
                  </w:r>
                </w:p>
                <w:p>
                  <w:pPr>
                    <w:pStyle w:val="63"/>
                    <w:spacing w:before="24" w:after="24" w:line="240" w:lineRule="auto"/>
                    <w:ind w:left="-3" w:firstLine="3"/>
                    <w:rPr>
                      <w:rFonts w:ascii="Times New Roman"/>
                      <w:color w:val="auto"/>
                      <w:szCs w:val="21"/>
                    </w:rPr>
                  </w:pPr>
                  <w:r>
                    <w:rPr>
                      <w:rFonts w:ascii="Times New Roman"/>
                      <w:color w:val="auto"/>
                      <w:szCs w:val="21"/>
                    </w:rPr>
                    <w:t>对象</w:t>
                  </w:r>
                </w:p>
              </w:tc>
              <w:tc>
                <w:tcPr>
                  <w:tcW w:w="712"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保护</w:t>
                  </w:r>
                </w:p>
                <w:p>
                  <w:pPr>
                    <w:pStyle w:val="63"/>
                    <w:spacing w:before="24" w:after="24" w:line="240" w:lineRule="auto"/>
                    <w:ind w:left="-3" w:firstLine="3"/>
                    <w:rPr>
                      <w:rFonts w:ascii="Times New Roman"/>
                      <w:color w:val="auto"/>
                      <w:szCs w:val="21"/>
                    </w:rPr>
                  </w:pPr>
                  <w:r>
                    <w:rPr>
                      <w:rFonts w:ascii="Times New Roman"/>
                      <w:color w:val="auto"/>
                      <w:szCs w:val="21"/>
                    </w:rPr>
                    <w:t>内容</w:t>
                  </w:r>
                </w:p>
              </w:tc>
              <w:tc>
                <w:tcPr>
                  <w:tcW w:w="999"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环境</w:t>
                  </w:r>
                </w:p>
                <w:p>
                  <w:pPr>
                    <w:pStyle w:val="63"/>
                    <w:spacing w:before="24" w:after="24" w:line="240" w:lineRule="auto"/>
                    <w:ind w:left="-3" w:firstLine="3"/>
                    <w:rPr>
                      <w:rFonts w:ascii="Times New Roman"/>
                      <w:color w:val="auto"/>
                      <w:szCs w:val="21"/>
                    </w:rPr>
                  </w:pPr>
                  <w:r>
                    <w:rPr>
                      <w:rFonts w:ascii="Times New Roman"/>
                      <w:color w:val="auto"/>
                      <w:szCs w:val="21"/>
                    </w:rPr>
                    <w:t>功能区</w:t>
                  </w:r>
                </w:p>
              </w:tc>
              <w:tc>
                <w:tcPr>
                  <w:tcW w:w="855" w:type="dxa"/>
                  <w:vMerge w:val="restart"/>
                  <w:noWrap w:val="0"/>
                  <w:vAlign w:val="center"/>
                </w:tcPr>
                <w:p>
                  <w:pPr>
                    <w:rPr>
                      <w:color w:val="auto"/>
                    </w:rPr>
                  </w:pPr>
                  <w:r>
                    <w:rPr>
                      <w:color w:val="auto"/>
                    </w:rPr>
                    <w:t>相对厂址方位</w:t>
                  </w:r>
                </w:p>
              </w:tc>
              <w:tc>
                <w:tcPr>
                  <w:tcW w:w="920" w:type="dxa"/>
                  <w:vMerge w:val="restart"/>
                  <w:noWrap w:val="0"/>
                  <w:vAlign w:val="center"/>
                </w:tcPr>
                <w:p>
                  <w:pPr>
                    <w:rPr>
                      <w:rFonts w:hint="eastAsia" w:eastAsia="宋体"/>
                      <w:color w:val="auto"/>
                      <w:lang w:val="en-US" w:eastAsia="zh-CN"/>
                    </w:rPr>
                  </w:pPr>
                  <w:r>
                    <w:rPr>
                      <w:color w:val="auto"/>
                    </w:rPr>
                    <w:t>相对厂界距离</w:t>
                  </w:r>
                  <w:r>
                    <w:rPr>
                      <w:rFonts w:hint="eastAsia"/>
                      <w:color w:val="auto"/>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2" w:type="dxa"/>
                  <w:vMerge w:val="continue"/>
                  <w:noWrap w:val="0"/>
                  <w:vAlign w:val="center"/>
                </w:tcPr>
                <w:p>
                  <w:pPr>
                    <w:pStyle w:val="63"/>
                    <w:spacing w:before="24" w:after="24" w:line="240" w:lineRule="auto"/>
                    <w:ind w:left="-3"/>
                    <w:rPr>
                      <w:rFonts w:ascii="Times New Roman"/>
                      <w:bCs/>
                      <w:color w:val="auto"/>
                      <w:szCs w:val="21"/>
                    </w:rPr>
                  </w:pPr>
                </w:p>
              </w:tc>
              <w:tc>
                <w:tcPr>
                  <w:tcW w:w="1469" w:type="dxa"/>
                  <w:noWrap w:val="0"/>
                  <w:vAlign w:val="center"/>
                </w:tcPr>
                <w:p>
                  <w:pPr>
                    <w:pStyle w:val="63"/>
                    <w:adjustRightInd/>
                    <w:snapToGrid/>
                    <w:spacing w:beforeLines="0" w:afterLines="0" w:line="240" w:lineRule="auto"/>
                    <w:rPr>
                      <w:rFonts w:ascii="Times New Roman"/>
                      <w:color w:val="auto"/>
                      <w:szCs w:val="21"/>
                    </w:rPr>
                  </w:pPr>
                  <w:r>
                    <w:rPr>
                      <w:rFonts w:ascii="Times New Roman"/>
                      <w:color w:val="auto"/>
                      <w:szCs w:val="21"/>
                    </w:rPr>
                    <w:t>X</w:t>
                  </w:r>
                </w:p>
              </w:tc>
              <w:tc>
                <w:tcPr>
                  <w:tcW w:w="1426" w:type="dxa"/>
                  <w:noWrap w:val="0"/>
                  <w:vAlign w:val="center"/>
                </w:tcPr>
                <w:p>
                  <w:pPr>
                    <w:pStyle w:val="63"/>
                    <w:adjustRightInd/>
                    <w:snapToGrid/>
                    <w:spacing w:beforeLines="0" w:afterLines="0" w:line="240" w:lineRule="auto"/>
                    <w:rPr>
                      <w:rFonts w:ascii="Times New Roman"/>
                      <w:color w:val="auto"/>
                      <w:szCs w:val="21"/>
                    </w:rPr>
                  </w:pPr>
                  <w:r>
                    <w:rPr>
                      <w:rFonts w:ascii="Times New Roman"/>
                      <w:color w:val="auto"/>
                      <w:szCs w:val="21"/>
                    </w:rPr>
                    <w:t>Y</w:t>
                  </w:r>
                </w:p>
              </w:tc>
              <w:tc>
                <w:tcPr>
                  <w:tcW w:w="870" w:type="dxa"/>
                  <w:vMerge w:val="continue"/>
                  <w:noWrap w:val="0"/>
                  <w:vAlign w:val="center"/>
                </w:tcPr>
                <w:p>
                  <w:pPr>
                    <w:rPr>
                      <w:color w:val="auto"/>
                      <w:szCs w:val="21"/>
                    </w:rPr>
                  </w:pPr>
                </w:p>
              </w:tc>
              <w:tc>
                <w:tcPr>
                  <w:tcW w:w="712" w:type="dxa"/>
                  <w:vMerge w:val="continue"/>
                  <w:noWrap w:val="0"/>
                  <w:vAlign w:val="center"/>
                </w:tcPr>
                <w:p>
                  <w:pPr>
                    <w:rPr>
                      <w:color w:val="auto"/>
                      <w:szCs w:val="21"/>
                    </w:rPr>
                  </w:pPr>
                </w:p>
              </w:tc>
              <w:tc>
                <w:tcPr>
                  <w:tcW w:w="999" w:type="dxa"/>
                  <w:vMerge w:val="continue"/>
                  <w:noWrap w:val="0"/>
                  <w:vAlign w:val="center"/>
                </w:tcPr>
                <w:p>
                  <w:pPr>
                    <w:rPr>
                      <w:color w:val="auto"/>
                      <w:szCs w:val="21"/>
                    </w:rPr>
                  </w:pPr>
                </w:p>
              </w:tc>
              <w:tc>
                <w:tcPr>
                  <w:tcW w:w="855" w:type="dxa"/>
                  <w:vMerge w:val="continue"/>
                  <w:noWrap w:val="0"/>
                  <w:vAlign w:val="center"/>
                </w:tcPr>
                <w:p>
                  <w:pPr>
                    <w:rPr>
                      <w:color w:val="auto"/>
                      <w:szCs w:val="21"/>
                    </w:rPr>
                  </w:pPr>
                </w:p>
              </w:tc>
              <w:tc>
                <w:tcPr>
                  <w:tcW w:w="920" w:type="dxa"/>
                  <w:vMerge w:val="continue"/>
                  <w:noWrap w:val="0"/>
                  <w:vAlign w:val="center"/>
                </w:tcPr>
                <w:p>
                  <w:pP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noWrap w:val="0"/>
                  <w:vAlign w:val="center"/>
                </w:tcPr>
                <w:p>
                  <w:pPr>
                    <w:pStyle w:val="63"/>
                    <w:adjustRightInd/>
                    <w:snapToGrid/>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常胜乡中心校</w:t>
                  </w:r>
                </w:p>
              </w:tc>
              <w:tc>
                <w:tcPr>
                  <w:tcW w:w="1469" w:type="dxa"/>
                  <w:noWrap w:val="0"/>
                  <w:vAlign w:val="center"/>
                </w:tcPr>
                <w:p>
                  <w:pPr>
                    <w:pStyle w:val="63"/>
                    <w:adjustRightInd/>
                    <w:snapToGrid/>
                    <w:spacing w:beforeLines="0" w:afterLines="0" w:line="240" w:lineRule="auto"/>
                    <w:rPr>
                      <w:rFonts w:hint="default" w:ascii="Times New Roman" w:hAnsi="Times New Roman" w:cs="Times New Roman"/>
                      <w:color w:val="auto"/>
                      <w:szCs w:val="21"/>
                    </w:rPr>
                  </w:pPr>
                  <w:r>
                    <w:rPr>
                      <w:rFonts w:hint="eastAsia" w:ascii="Times New Roman" w:hAnsi="Times New Roman" w:cs="Times New Roman"/>
                      <w:color w:val="auto"/>
                      <w:szCs w:val="21"/>
                    </w:rPr>
                    <w:t>129.51712347</w:t>
                  </w:r>
                </w:p>
              </w:tc>
              <w:tc>
                <w:tcPr>
                  <w:tcW w:w="1426" w:type="dxa"/>
                  <w:noWrap w:val="0"/>
                  <w:vAlign w:val="center"/>
                </w:tcPr>
                <w:p>
                  <w:pPr>
                    <w:pStyle w:val="63"/>
                    <w:adjustRightInd/>
                    <w:snapToGrid/>
                    <w:spacing w:beforeLines="0" w:afterLines="0" w:line="240" w:lineRule="auto"/>
                    <w:rPr>
                      <w:rFonts w:hint="default" w:ascii="Times New Roman" w:hAnsi="Times New Roman" w:cs="Times New Roman"/>
                      <w:color w:val="auto"/>
                      <w:szCs w:val="21"/>
                    </w:rPr>
                  </w:pPr>
                  <w:r>
                    <w:rPr>
                      <w:rFonts w:hint="eastAsia" w:ascii="Times New Roman" w:hAnsi="Times New Roman" w:cs="Times New Roman"/>
                      <w:color w:val="auto"/>
                      <w:szCs w:val="21"/>
                    </w:rPr>
                    <w:t>49.41049903</w:t>
                  </w:r>
                </w:p>
              </w:tc>
              <w:tc>
                <w:tcPr>
                  <w:tcW w:w="870" w:type="dxa"/>
                  <w:noWrap w:val="0"/>
                  <w:vAlign w:val="center"/>
                </w:tcPr>
                <w:p>
                  <w:pPr>
                    <w:pStyle w:val="63"/>
                    <w:adjustRightInd/>
                    <w:snapToGrid/>
                    <w:spacing w:beforeLines="0" w:afterLines="0" w:line="240" w:lineRule="auto"/>
                    <w:rPr>
                      <w:rFonts w:ascii="Times New Roman"/>
                      <w:bCs/>
                      <w:color w:val="auto"/>
                      <w:kern w:val="2"/>
                      <w:szCs w:val="21"/>
                    </w:rPr>
                  </w:pPr>
                  <w:r>
                    <w:rPr>
                      <w:rFonts w:ascii="Times New Roman"/>
                      <w:bCs/>
                      <w:color w:val="auto"/>
                      <w:szCs w:val="21"/>
                    </w:rPr>
                    <w:t>居住区</w:t>
                  </w:r>
                </w:p>
              </w:tc>
              <w:tc>
                <w:tcPr>
                  <w:tcW w:w="712" w:type="dxa"/>
                  <w:noWrap w:val="0"/>
                  <w:vAlign w:val="center"/>
                </w:tcPr>
                <w:p>
                  <w:pPr>
                    <w:pStyle w:val="63"/>
                    <w:adjustRightInd/>
                    <w:snapToGrid/>
                    <w:spacing w:beforeLines="0" w:afterLines="0" w:line="240" w:lineRule="auto"/>
                    <w:rPr>
                      <w:rFonts w:ascii="Times New Roman"/>
                      <w:bCs/>
                      <w:color w:val="auto"/>
                      <w:kern w:val="2"/>
                      <w:szCs w:val="21"/>
                    </w:rPr>
                  </w:pPr>
                  <w:r>
                    <w:rPr>
                      <w:rFonts w:ascii="Times New Roman"/>
                      <w:bCs/>
                      <w:color w:val="auto"/>
                      <w:szCs w:val="21"/>
                    </w:rPr>
                    <w:t>人群</w:t>
                  </w:r>
                </w:p>
              </w:tc>
              <w:tc>
                <w:tcPr>
                  <w:tcW w:w="999" w:type="dxa"/>
                  <w:noWrap w:val="0"/>
                  <w:vAlign w:val="center"/>
                </w:tcPr>
                <w:p>
                  <w:pPr>
                    <w:pStyle w:val="63"/>
                    <w:spacing w:before="24" w:after="24" w:line="240" w:lineRule="auto"/>
                    <w:ind w:left="-3" w:firstLine="3"/>
                    <w:rPr>
                      <w:rFonts w:ascii="Times New Roman"/>
                      <w:bCs/>
                      <w:color w:val="auto"/>
                      <w:szCs w:val="21"/>
                    </w:rPr>
                  </w:pPr>
                  <w:r>
                    <w:rPr>
                      <w:rFonts w:ascii="Times New Roman"/>
                      <w:bCs/>
                      <w:color w:val="auto"/>
                      <w:szCs w:val="21"/>
                    </w:rPr>
                    <w:t>二类区</w:t>
                  </w:r>
                </w:p>
              </w:tc>
              <w:tc>
                <w:tcPr>
                  <w:tcW w:w="855" w:type="dxa"/>
                  <w:noWrap w:val="0"/>
                  <w:vAlign w:val="center"/>
                </w:tcPr>
                <w:p>
                  <w:pPr>
                    <w:jc w:val="center"/>
                    <w:rPr>
                      <w:rFonts w:hint="eastAsia" w:eastAsia="宋体"/>
                      <w:color w:val="auto"/>
                      <w:szCs w:val="21"/>
                      <w:lang w:eastAsia="zh-CN"/>
                    </w:rPr>
                  </w:pPr>
                  <w:r>
                    <w:rPr>
                      <w:rFonts w:hint="eastAsia"/>
                      <w:color w:val="auto"/>
                      <w:lang w:val="en-US" w:eastAsia="zh-CN"/>
                    </w:rPr>
                    <w:t>西</w:t>
                  </w:r>
                </w:p>
              </w:tc>
              <w:tc>
                <w:tcPr>
                  <w:tcW w:w="920" w:type="dxa"/>
                  <w:noWrap w:val="0"/>
                  <w:vAlign w:val="center"/>
                </w:tcPr>
                <w:p>
                  <w:pPr>
                    <w:jc w:val="center"/>
                    <w:rPr>
                      <w:rFonts w:hint="default" w:eastAsia="宋体"/>
                      <w:color w:val="auto"/>
                      <w:szCs w:val="21"/>
                      <w:lang w:val="en-US" w:eastAsia="zh-CN"/>
                    </w:rPr>
                  </w:pPr>
                  <w:r>
                    <w:rPr>
                      <w:rFonts w:hint="eastAsia"/>
                      <w:color w:val="auto"/>
                      <w:szCs w:val="21"/>
                      <w:lang w:val="en-US" w:eastAsia="zh-CN"/>
                    </w:rPr>
                    <w:t>490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noWrap w:val="0"/>
                  <w:vAlign w:val="center"/>
                </w:tcPr>
                <w:p>
                  <w:pPr>
                    <w:pStyle w:val="63"/>
                    <w:adjustRightInd/>
                    <w:snapToGrid/>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常胜乡居民</w:t>
                  </w:r>
                </w:p>
              </w:tc>
              <w:tc>
                <w:tcPr>
                  <w:tcW w:w="1469" w:type="dxa"/>
                  <w:noWrap w:val="0"/>
                  <w:vAlign w:val="center"/>
                </w:tcPr>
                <w:p>
                  <w:pPr>
                    <w:pStyle w:val="63"/>
                    <w:adjustRightInd/>
                    <w:snapToGrid/>
                    <w:spacing w:beforeLines="0" w:afterLines="0" w:line="240" w:lineRule="auto"/>
                    <w:rPr>
                      <w:rFonts w:hint="default" w:ascii="Times New Roman" w:hAnsi="Times New Roman" w:cs="Times New Roman"/>
                      <w:color w:val="auto"/>
                      <w:szCs w:val="21"/>
                    </w:rPr>
                  </w:pPr>
                  <w:r>
                    <w:rPr>
                      <w:rFonts w:hint="eastAsia" w:ascii="Times New Roman" w:hAnsi="Times New Roman" w:cs="Times New Roman"/>
                      <w:color w:val="auto"/>
                      <w:szCs w:val="21"/>
                    </w:rPr>
                    <w:t>129.52321210</w:t>
                  </w:r>
                </w:p>
              </w:tc>
              <w:tc>
                <w:tcPr>
                  <w:tcW w:w="1426" w:type="dxa"/>
                  <w:noWrap w:val="0"/>
                  <w:vAlign w:val="center"/>
                </w:tcPr>
                <w:p>
                  <w:pPr>
                    <w:pStyle w:val="63"/>
                    <w:adjustRightInd/>
                    <w:snapToGrid/>
                    <w:spacing w:beforeLines="0" w:afterLines="0" w:line="240" w:lineRule="auto"/>
                    <w:rPr>
                      <w:rFonts w:hint="default" w:ascii="Times New Roman" w:hAnsi="Times New Roman" w:cs="Times New Roman"/>
                      <w:color w:val="auto"/>
                      <w:szCs w:val="21"/>
                    </w:rPr>
                  </w:pPr>
                  <w:r>
                    <w:rPr>
                      <w:rFonts w:hint="eastAsia" w:ascii="Times New Roman" w:hAnsi="Times New Roman" w:cs="Times New Roman"/>
                      <w:color w:val="auto"/>
                      <w:szCs w:val="21"/>
                    </w:rPr>
                    <w:t>49.41187358</w:t>
                  </w:r>
                </w:p>
              </w:tc>
              <w:tc>
                <w:tcPr>
                  <w:tcW w:w="870" w:type="dxa"/>
                  <w:noWrap w:val="0"/>
                  <w:vAlign w:val="center"/>
                </w:tcPr>
                <w:p>
                  <w:pPr>
                    <w:pStyle w:val="63"/>
                    <w:adjustRightInd/>
                    <w:snapToGrid/>
                    <w:spacing w:beforeLines="0" w:afterLines="0" w:line="240" w:lineRule="auto"/>
                    <w:rPr>
                      <w:rFonts w:ascii="Times New Roman"/>
                      <w:bCs/>
                      <w:color w:val="auto"/>
                      <w:szCs w:val="21"/>
                    </w:rPr>
                  </w:pPr>
                  <w:r>
                    <w:rPr>
                      <w:rFonts w:ascii="Times New Roman"/>
                      <w:bCs/>
                      <w:color w:val="auto"/>
                      <w:szCs w:val="21"/>
                    </w:rPr>
                    <w:t>居住区</w:t>
                  </w:r>
                </w:p>
              </w:tc>
              <w:tc>
                <w:tcPr>
                  <w:tcW w:w="712" w:type="dxa"/>
                  <w:noWrap w:val="0"/>
                  <w:vAlign w:val="center"/>
                </w:tcPr>
                <w:p>
                  <w:pPr>
                    <w:pStyle w:val="63"/>
                    <w:adjustRightInd/>
                    <w:snapToGrid/>
                    <w:spacing w:beforeLines="0" w:afterLines="0" w:line="240" w:lineRule="auto"/>
                    <w:rPr>
                      <w:rFonts w:ascii="Times New Roman"/>
                      <w:bCs/>
                      <w:color w:val="auto"/>
                      <w:szCs w:val="21"/>
                    </w:rPr>
                  </w:pPr>
                  <w:r>
                    <w:rPr>
                      <w:rFonts w:ascii="Times New Roman"/>
                      <w:bCs/>
                      <w:color w:val="auto"/>
                      <w:szCs w:val="21"/>
                    </w:rPr>
                    <w:t>人群</w:t>
                  </w:r>
                </w:p>
              </w:tc>
              <w:tc>
                <w:tcPr>
                  <w:tcW w:w="999" w:type="dxa"/>
                  <w:noWrap w:val="0"/>
                  <w:vAlign w:val="center"/>
                </w:tcPr>
                <w:p>
                  <w:pPr>
                    <w:pStyle w:val="63"/>
                    <w:spacing w:before="24" w:after="24" w:line="240" w:lineRule="auto"/>
                    <w:ind w:left="-3" w:leftChars="0" w:firstLine="3" w:firstLineChars="0"/>
                    <w:rPr>
                      <w:rFonts w:ascii="Times New Roman"/>
                      <w:bCs/>
                      <w:color w:val="auto"/>
                      <w:szCs w:val="21"/>
                    </w:rPr>
                  </w:pPr>
                  <w:r>
                    <w:rPr>
                      <w:rFonts w:ascii="Times New Roman"/>
                      <w:bCs/>
                      <w:color w:val="auto"/>
                      <w:szCs w:val="21"/>
                    </w:rPr>
                    <w:t>二类区</w:t>
                  </w:r>
                </w:p>
              </w:tc>
              <w:tc>
                <w:tcPr>
                  <w:tcW w:w="855" w:type="dxa"/>
                  <w:noWrap w:val="0"/>
                  <w:vAlign w:val="center"/>
                </w:tcPr>
                <w:p>
                  <w:pPr>
                    <w:jc w:val="center"/>
                    <w:rPr>
                      <w:rFonts w:hint="default"/>
                      <w:color w:val="auto"/>
                      <w:lang w:val="en-US" w:eastAsia="zh-CN"/>
                    </w:rPr>
                  </w:pPr>
                  <w:r>
                    <w:rPr>
                      <w:rFonts w:hint="eastAsia"/>
                      <w:color w:val="auto"/>
                      <w:lang w:val="en-US" w:eastAsia="zh-CN"/>
                    </w:rPr>
                    <w:t>西</w:t>
                  </w:r>
                </w:p>
              </w:tc>
              <w:tc>
                <w:tcPr>
                  <w:tcW w:w="920" w:type="dxa"/>
                  <w:noWrap w:val="0"/>
                  <w:vAlign w:val="center"/>
                </w:tcPr>
                <w:p>
                  <w:pPr>
                    <w:jc w:val="center"/>
                    <w:rPr>
                      <w:rFonts w:hint="eastAsia"/>
                      <w:color w:val="auto"/>
                      <w:szCs w:val="21"/>
                      <w:lang w:val="en-US" w:eastAsia="zh-CN"/>
                    </w:rPr>
                  </w:pPr>
                  <w:r>
                    <w:rPr>
                      <w:rFonts w:hint="eastAsia"/>
                      <w:color w:val="auto"/>
                      <w:lang w:val="en-US" w:eastAsia="zh-CN"/>
                    </w:rPr>
                    <w:t>1m</w:t>
                  </w:r>
                </w:p>
              </w:tc>
            </w:tr>
          </w:tbl>
          <w:p>
            <w:pPr>
              <w:spacing w:line="360" w:lineRule="auto"/>
              <w:ind w:firstLine="498" w:firstLineChars="200"/>
              <w:rPr>
                <w:color w:val="auto"/>
                <w:spacing w:val="4"/>
                <w:sz w:val="24"/>
              </w:rPr>
            </w:pPr>
            <w:r>
              <w:rPr>
                <w:b/>
                <w:bCs/>
                <w:color w:val="auto"/>
                <w:spacing w:val="4"/>
                <w:sz w:val="24"/>
              </w:rPr>
              <w:t>2、地表水保护目标</w:t>
            </w:r>
            <w:r>
              <w:rPr>
                <w:color w:val="auto"/>
                <w:spacing w:val="4"/>
                <w:sz w:val="24"/>
              </w:rPr>
              <w:t>：本项目用地范围及附近不涉及饮用水水源保护区、饮用水取水口、涉水的自然保护区、风景名胜区、重要湿地、重点保护与珍稀水生生物的梄息地、重要水生生物的自然产卵场及索饵场、越冬场和洄游通道、天然渔场等渔业水体以及水产种质资源保护区等地表水环境保护目标。</w:t>
            </w:r>
          </w:p>
          <w:p>
            <w:pPr>
              <w:spacing w:line="360" w:lineRule="auto"/>
              <w:ind w:firstLine="498" w:firstLineChars="200"/>
              <w:rPr>
                <w:color w:val="auto"/>
                <w:spacing w:val="4"/>
                <w:sz w:val="24"/>
              </w:rPr>
            </w:pPr>
            <w:r>
              <w:rPr>
                <w:b/>
                <w:bCs/>
                <w:color w:val="auto"/>
                <w:spacing w:val="4"/>
                <w:sz w:val="24"/>
              </w:rPr>
              <w:t>3、声环境保护目标</w:t>
            </w:r>
            <w:r>
              <w:rPr>
                <w:color w:val="auto"/>
                <w:spacing w:val="4"/>
                <w:sz w:val="24"/>
              </w:rPr>
              <w:t>：</w:t>
            </w:r>
          </w:p>
          <w:p>
            <w:pPr>
              <w:jc w:val="center"/>
              <w:rPr>
                <w:b/>
                <w:bCs/>
                <w:color w:val="auto"/>
                <w:sz w:val="24"/>
                <w:szCs w:val="32"/>
              </w:rPr>
            </w:pPr>
            <w:r>
              <w:rPr>
                <w:b/>
                <w:bCs/>
                <w:color w:val="auto"/>
                <w:sz w:val="24"/>
                <w:szCs w:val="32"/>
              </w:rPr>
              <w:t>表</w:t>
            </w:r>
            <w:r>
              <w:rPr>
                <w:rFonts w:hint="eastAsia"/>
                <w:b/>
                <w:bCs/>
                <w:color w:val="auto"/>
                <w:sz w:val="24"/>
                <w:szCs w:val="32"/>
              </w:rPr>
              <w:t>3-</w:t>
            </w:r>
            <w:r>
              <w:rPr>
                <w:rFonts w:hint="eastAsia"/>
                <w:b/>
                <w:bCs/>
                <w:color w:val="auto"/>
                <w:sz w:val="24"/>
                <w:szCs w:val="32"/>
                <w:lang w:val="en-US" w:eastAsia="zh-CN"/>
              </w:rPr>
              <w:t>6</w:t>
            </w:r>
            <w:r>
              <w:rPr>
                <w:b/>
                <w:bCs/>
                <w:color w:val="auto"/>
                <w:sz w:val="24"/>
                <w:szCs w:val="32"/>
              </w:rPr>
              <w:t xml:space="preserve"> </w:t>
            </w:r>
            <w:r>
              <w:rPr>
                <w:rFonts w:hint="eastAsia"/>
                <w:b/>
                <w:bCs/>
                <w:color w:val="auto"/>
                <w:sz w:val="24"/>
                <w:szCs w:val="32"/>
              </w:rPr>
              <w:t>声</w:t>
            </w:r>
            <w:r>
              <w:rPr>
                <w:b/>
                <w:bCs/>
                <w:color w:val="auto"/>
                <w:sz w:val="24"/>
                <w:szCs w:val="32"/>
              </w:rPr>
              <w:t>环境保护目标</w:t>
            </w:r>
          </w:p>
          <w:tbl>
            <w:tblPr>
              <w:tblStyle w:val="30"/>
              <w:tblW w:w="79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828"/>
              <w:gridCol w:w="968"/>
              <w:gridCol w:w="787"/>
              <w:gridCol w:w="868"/>
              <w:gridCol w:w="2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blHeader/>
              </w:trPr>
              <w:tc>
                <w:tcPr>
                  <w:tcW w:w="1073" w:type="dxa"/>
                  <w:noWrap w:val="0"/>
                  <w:vAlign w:val="center"/>
                </w:tcPr>
                <w:p>
                  <w:pPr>
                    <w:widowControl/>
                    <w:spacing w:line="360" w:lineRule="auto"/>
                    <w:jc w:val="center"/>
                    <w:rPr>
                      <w:color w:val="auto"/>
                      <w:szCs w:val="21"/>
                    </w:rPr>
                  </w:pPr>
                  <w:r>
                    <w:rPr>
                      <w:color w:val="auto"/>
                      <w:szCs w:val="21"/>
                    </w:rPr>
                    <w:t>环境元素</w:t>
                  </w:r>
                </w:p>
              </w:tc>
              <w:tc>
                <w:tcPr>
                  <w:tcW w:w="1828" w:type="dxa"/>
                  <w:noWrap w:val="0"/>
                  <w:vAlign w:val="center"/>
                </w:tcPr>
                <w:p>
                  <w:pPr>
                    <w:spacing w:line="360" w:lineRule="auto"/>
                    <w:jc w:val="center"/>
                    <w:rPr>
                      <w:color w:val="auto"/>
                      <w:szCs w:val="21"/>
                    </w:rPr>
                  </w:pPr>
                  <w:r>
                    <w:rPr>
                      <w:color w:val="auto"/>
                      <w:szCs w:val="21"/>
                    </w:rPr>
                    <w:t>环境保护目标</w:t>
                  </w:r>
                </w:p>
              </w:tc>
              <w:tc>
                <w:tcPr>
                  <w:tcW w:w="968" w:type="dxa"/>
                  <w:noWrap w:val="0"/>
                  <w:vAlign w:val="center"/>
                </w:tcPr>
                <w:p>
                  <w:pPr>
                    <w:spacing w:line="360" w:lineRule="auto"/>
                    <w:jc w:val="center"/>
                    <w:rPr>
                      <w:color w:val="auto"/>
                      <w:szCs w:val="21"/>
                    </w:rPr>
                  </w:pPr>
                  <w:r>
                    <w:rPr>
                      <w:color w:val="auto"/>
                      <w:szCs w:val="21"/>
                    </w:rPr>
                    <w:t>方位</w:t>
                  </w:r>
                </w:p>
              </w:tc>
              <w:tc>
                <w:tcPr>
                  <w:tcW w:w="787" w:type="dxa"/>
                  <w:noWrap w:val="0"/>
                  <w:vAlign w:val="center"/>
                </w:tcPr>
                <w:p>
                  <w:pPr>
                    <w:spacing w:line="360" w:lineRule="auto"/>
                    <w:jc w:val="center"/>
                    <w:rPr>
                      <w:rFonts w:hint="eastAsia" w:eastAsia="宋体"/>
                      <w:color w:val="auto"/>
                      <w:szCs w:val="21"/>
                      <w:lang w:eastAsia="zh-CN"/>
                    </w:rPr>
                  </w:pPr>
                  <w:r>
                    <w:rPr>
                      <w:color w:val="auto"/>
                      <w:szCs w:val="21"/>
                    </w:rPr>
                    <w:t>距离</w:t>
                  </w:r>
                </w:p>
              </w:tc>
              <w:tc>
                <w:tcPr>
                  <w:tcW w:w="868" w:type="dxa"/>
                  <w:noWrap w:val="0"/>
                  <w:vAlign w:val="center"/>
                </w:tcPr>
                <w:p>
                  <w:pPr>
                    <w:spacing w:line="360" w:lineRule="auto"/>
                    <w:jc w:val="center"/>
                    <w:rPr>
                      <w:color w:val="auto"/>
                      <w:szCs w:val="21"/>
                    </w:rPr>
                  </w:pPr>
                  <w:r>
                    <w:rPr>
                      <w:rFonts w:hint="eastAsia"/>
                      <w:color w:val="auto"/>
                      <w:szCs w:val="21"/>
                    </w:rPr>
                    <w:t>人数</w:t>
                  </w:r>
                </w:p>
              </w:tc>
              <w:tc>
                <w:tcPr>
                  <w:tcW w:w="2422" w:type="dxa"/>
                  <w:noWrap w:val="0"/>
                  <w:vAlign w:val="center"/>
                </w:tcPr>
                <w:p>
                  <w:pPr>
                    <w:spacing w:line="360" w:lineRule="auto"/>
                    <w:jc w:val="center"/>
                    <w:rPr>
                      <w:color w:val="auto"/>
                      <w:szCs w:val="21"/>
                    </w:rPr>
                  </w:pPr>
                  <w:r>
                    <w:rPr>
                      <w:color w:val="auto"/>
                      <w:szCs w:val="21"/>
                    </w:rPr>
                    <w:t>环境保护级别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73" w:type="dxa"/>
                  <w:vMerge w:val="restart"/>
                  <w:noWrap w:val="0"/>
                  <w:vAlign w:val="center"/>
                </w:tcPr>
                <w:p>
                  <w:pPr>
                    <w:widowControl/>
                    <w:spacing w:line="360" w:lineRule="auto"/>
                    <w:jc w:val="center"/>
                    <w:rPr>
                      <w:color w:val="auto"/>
                      <w:szCs w:val="21"/>
                    </w:rPr>
                  </w:pPr>
                  <w:r>
                    <w:rPr>
                      <w:color w:val="auto"/>
                      <w:szCs w:val="21"/>
                    </w:rPr>
                    <w:t>声环境</w:t>
                  </w:r>
                </w:p>
              </w:tc>
              <w:tc>
                <w:tcPr>
                  <w:tcW w:w="1828" w:type="dxa"/>
                  <w:vMerge w:val="restart"/>
                  <w:noWrap w:val="0"/>
                  <w:vAlign w:val="center"/>
                </w:tcPr>
                <w:p>
                  <w:pPr>
                    <w:spacing w:line="360" w:lineRule="auto"/>
                    <w:jc w:val="center"/>
                    <w:rPr>
                      <w:color w:val="auto"/>
                      <w:szCs w:val="21"/>
                    </w:rPr>
                  </w:pPr>
                  <w:r>
                    <w:rPr>
                      <w:rFonts w:hint="eastAsia"/>
                      <w:color w:val="auto"/>
                      <w:szCs w:val="21"/>
                      <w:lang w:val="en-US" w:eastAsia="zh-CN"/>
                    </w:rPr>
                    <w:t>常胜乡</w:t>
                  </w:r>
                  <w:r>
                    <w:rPr>
                      <w:rFonts w:hint="eastAsia"/>
                      <w:color w:val="auto"/>
                    </w:rPr>
                    <w:t>居民</w:t>
                  </w:r>
                </w:p>
              </w:tc>
              <w:tc>
                <w:tcPr>
                  <w:tcW w:w="968" w:type="dxa"/>
                  <w:noWrap w:val="0"/>
                  <w:vAlign w:val="center"/>
                </w:tcPr>
                <w:p>
                  <w:pPr>
                    <w:spacing w:line="360" w:lineRule="auto"/>
                    <w:jc w:val="center"/>
                    <w:rPr>
                      <w:rFonts w:hint="eastAsia" w:eastAsia="宋体"/>
                      <w:color w:val="auto"/>
                      <w:szCs w:val="21"/>
                      <w:lang w:eastAsia="zh-CN"/>
                    </w:rPr>
                  </w:pPr>
                  <w:r>
                    <w:rPr>
                      <w:rFonts w:hint="eastAsia" w:eastAsia="等线"/>
                      <w:color w:val="auto"/>
                      <w:kern w:val="0"/>
                      <w:szCs w:val="21"/>
                      <w:lang w:val="en-US" w:eastAsia="zh-CN"/>
                    </w:rPr>
                    <w:t>西侧</w:t>
                  </w:r>
                </w:p>
              </w:tc>
              <w:tc>
                <w:tcPr>
                  <w:tcW w:w="787" w:type="dxa"/>
                  <w:noWrap w:val="0"/>
                  <w:vAlign w:val="center"/>
                </w:tcPr>
                <w:p>
                  <w:pPr>
                    <w:spacing w:line="360" w:lineRule="auto"/>
                    <w:jc w:val="center"/>
                    <w:rPr>
                      <w:rFonts w:hint="default" w:eastAsia="宋体"/>
                      <w:color w:val="auto"/>
                      <w:szCs w:val="21"/>
                      <w:lang w:val="en-US" w:eastAsia="zh-CN"/>
                    </w:rPr>
                  </w:pPr>
                  <w:r>
                    <w:rPr>
                      <w:rFonts w:hint="eastAsia" w:eastAsia="等线"/>
                      <w:color w:val="auto"/>
                      <w:kern w:val="0"/>
                      <w:szCs w:val="21"/>
                      <w:lang w:val="en-US" w:eastAsia="zh-CN"/>
                    </w:rPr>
                    <w:t>1m</w:t>
                  </w:r>
                </w:p>
              </w:tc>
              <w:tc>
                <w:tcPr>
                  <w:tcW w:w="868" w:type="dxa"/>
                  <w:noWrap w:val="0"/>
                  <w:vAlign w:val="center"/>
                </w:tcPr>
                <w:p>
                  <w:pPr>
                    <w:spacing w:line="360" w:lineRule="auto"/>
                    <w:jc w:val="center"/>
                    <w:rPr>
                      <w:color w:val="auto"/>
                      <w:szCs w:val="21"/>
                    </w:rPr>
                  </w:pPr>
                  <w:r>
                    <w:rPr>
                      <w:rFonts w:hint="eastAsia"/>
                      <w:color w:val="auto"/>
                      <w:szCs w:val="21"/>
                      <w:lang w:val="en-US" w:eastAsia="zh-CN"/>
                    </w:rPr>
                    <w:t>10</w:t>
                  </w:r>
                  <w:r>
                    <w:rPr>
                      <w:rFonts w:hint="eastAsia"/>
                      <w:color w:val="auto"/>
                      <w:szCs w:val="21"/>
                    </w:rPr>
                    <w:t>人</w:t>
                  </w:r>
                </w:p>
              </w:tc>
              <w:tc>
                <w:tcPr>
                  <w:tcW w:w="2422" w:type="dxa"/>
                  <w:vMerge w:val="restart"/>
                  <w:noWrap w:val="0"/>
                  <w:vAlign w:val="center"/>
                </w:tcPr>
                <w:p>
                  <w:pPr>
                    <w:spacing w:line="360" w:lineRule="auto"/>
                    <w:jc w:val="center"/>
                    <w:rPr>
                      <w:color w:val="auto"/>
                      <w:szCs w:val="21"/>
                    </w:rPr>
                  </w:pPr>
                  <w:r>
                    <w:rPr>
                      <w:color w:val="auto"/>
                      <w:szCs w:val="21"/>
                    </w:rPr>
                    <w:t>《声环境质量标准》（GB3096-2008）</w:t>
                  </w:r>
                  <w:r>
                    <w:rPr>
                      <w:rFonts w:hint="eastAsia"/>
                      <w:color w:val="auto"/>
                      <w:szCs w:val="21"/>
                    </w:rPr>
                    <w:t>2</w:t>
                  </w:r>
                  <w:r>
                    <w:rPr>
                      <w:color w:val="auto"/>
                      <w:szCs w:val="21"/>
                    </w:rPr>
                    <w:t>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73" w:type="dxa"/>
                  <w:vMerge w:val="continue"/>
                  <w:noWrap w:val="0"/>
                  <w:vAlign w:val="center"/>
                </w:tcPr>
                <w:p>
                  <w:pPr>
                    <w:spacing w:line="360" w:lineRule="auto"/>
                    <w:jc w:val="center"/>
                    <w:rPr>
                      <w:color w:val="auto"/>
                    </w:rPr>
                  </w:pPr>
                </w:p>
              </w:tc>
              <w:tc>
                <w:tcPr>
                  <w:tcW w:w="1828" w:type="dxa"/>
                  <w:vMerge w:val="continue"/>
                  <w:noWrap w:val="0"/>
                  <w:vAlign w:val="center"/>
                </w:tcPr>
                <w:p>
                  <w:pPr>
                    <w:spacing w:line="360" w:lineRule="auto"/>
                    <w:jc w:val="center"/>
                    <w:rPr>
                      <w:rFonts w:hint="eastAsia"/>
                      <w:color w:val="auto"/>
                    </w:rPr>
                  </w:pPr>
                </w:p>
              </w:tc>
              <w:tc>
                <w:tcPr>
                  <w:tcW w:w="968" w:type="dxa"/>
                  <w:noWrap w:val="0"/>
                  <w:vAlign w:val="center"/>
                </w:tcPr>
                <w:p>
                  <w:pPr>
                    <w:spacing w:line="360" w:lineRule="auto"/>
                    <w:jc w:val="center"/>
                    <w:rPr>
                      <w:rFonts w:hint="eastAsia" w:eastAsia="宋体"/>
                      <w:color w:val="auto"/>
                      <w:lang w:val="en-US" w:eastAsia="zh-CN"/>
                    </w:rPr>
                  </w:pPr>
                  <w:r>
                    <w:rPr>
                      <w:rFonts w:hint="eastAsia"/>
                      <w:color w:val="auto"/>
                      <w:lang w:val="en-US" w:eastAsia="zh-CN"/>
                    </w:rPr>
                    <w:t>南侧</w:t>
                  </w:r>
                </w:p>
              </w:tc>
              <w:tc>
                <w:tcPr>
                  <w:tcW w:w="787" w:type="dxa"/>
                  <w:noWrap w:val="0"/>
                  <w:vAlign w:val="center"/>
                </w:tcPr>
                <w:p>
                  <w:pPr>
                    <w:spacing w:line="360" w:lineRule="auto"/>
                    <w:jc w:val="center"/>
                    <w:rPr>
                      <w:rFonts w:hint="default" w:eastAsia="宋体"/>
                      <w:color w:val="auto"/>
                      <w:lang w:val="en-US" w:eastAsia="zh-CN"/>
                    </w:rPr>
                  </w:pPr>
                  <w:r>
                    <w:rPr>
                      <w:rFonts w:hint="eastAsia"/>
                      <w:color w:val="auto"/>
                      <w:lang w:val="en-US" w:eastAsia="zh-CN"/>
                    </w:rPr>
                    <w:t>24m</w:t>
                  </w:r>
                </w:p>
              </w:tc>
              <w:tc>
                <w:tcPr>
                  <w:tcW w:w="868" w:type="dxa"/>
                  <w:noWrap w:val="0"/>
                  <w:vAlign w:val="center"/>
                </w:tcPr>
                <w:p>
                  <w:pPr>
                    <w:spacing w:line="360" w:lineRule="auto"/>
                    <w:jc w:val="center"/>
                    <w:rPr>
                      <w:color w:val="auto"/>
                    </w:rPr>
                  </w:pPr>
                  <w:r>
                    <w:rPr>
                      <w:rFonts w:hint="eastAsia"/>
                      <w:color w:val="auto"/>
                      <w:lang w:val="en-US" w:eastAsia="zh-CN"/>
                    </w:rPr>
                    <w:t>20</w:t>
                  </w:r>
                  <w:r>
                    <w:rPr>
                      <w:rFonts w:hint="eastAsia"/>
                      <w:color w:val="auto"/>
                      <w:szCs w:val="21"/>
                    </w:rPr>
                    <w:t>人</w:t>
                  </w:r>
                </w:p>
              </w:tc>
              <w:tc>
                <w:tcPr>
                  <w:tcW w:w="2422" w:type="dxa"/>
                  <w:vMerge w:val="continue"/>
                  <w:noWrap w:val="0"/>
                  <w:vAlign w:val="center"/>
                </w:tcPr>
                <w:p>
                  <w:pPr>
                    <w:spacing w:line="360" w:lineRule="auto"/>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73" w:type="dxa"/>
                  <w:vMerge w:val="continue"/>
                  <w:noWrap w:val="0"/>
                  <w:vAlign w:val="center"/>
                </w:tcPr>
                <w:p>
                  <w:pPr>
                    <w:spacing w:line="360" w:lineRule="auto"/>
                    <w:jc w:val="center"/>
                    <w:rPr>
                      <w:color w:val="auto"/>
                    </w:rPr>
                  </w:pPr>
                </w:p>
              </w:tc>
              <w:tc>
                <w:tcPr>
                  <w:tcW w:w="1828" w:type="dxa"/>
                  <w:vMerge w:val="continue"/>
                  <w:noWrap w:val="0"/>
                  <w:vAlign w:val="center"/>
                </w:tcPr>
                <w:p>
                  <w:pPr>
                    <w:spacing w:line="360" w:lineRule="auto"/>
                    <w:jc w:val="center"/>
                    <w:rPr>
                      <w:rFonts w:hint="eastAsia"/>
                      <w:color w:val="auto"/>
                    </w:rPr>
                  </w:pPr>
                </w:p>
              </w:tc>
              <w:tc>
                <w:tcPr>
                  <w:tcW w:w="968" w:type="dxa"/>
                  <w:noWrap w:val="0"/>
                  <w:vAlign w:val="center"/>
                </w:tcPr>
                <w:p>
                  <w:pPr>
                    <w:spacing w:line="360" w:lineRule="auto"/>
                    <w:jc w:val="center"/>
                    <w:rPr>
                      <w:rFonts w:hint="eastAsia" w:eastAsia="宋体"/>
                      <w:color w:val="auto"/>
                      <w:lang w:val="en-US" w:eastAsia="zh-CN"/>
                    </w:rPr>
                  </w:pPr>
                  <w:r>
                    <w:rPr>
                      <w:rFonts w:hint="eastAsia"/>
                      <w:color w:val="auto"/>
                      <w:lang w:val="en-US" w:eastAsia="zh-CN"/>
                    </w:rPr>
                    <w:t>北侧</w:t>
                  </w:r>
                </w:p>
              </w:tc>
              <w:tc>
                <w:tcPr>
                  <w:tcW w:w="787" w:type="dxa"/>
                  <w:noWrap w:val="0"/>
                  <w:vAlign w:val="center"/>
                </w:tcPr>
                <w:p>
                  <w:pPr>
                    <w:spacing w:line="360" w:lineRule="auto"/>
                    <w:jc w:val="center"/>
                    <w:rPr>
                      <w:rFonts w:hint="default" w:eastAsia="宋体"/>
                      <w:color w:val="auto"/>
                      <w:lang w:val="en-US" w:eastAsia="zh-CN"/>
                    </w:rPr>
                  </w:pPr>
                  <w:r>
                    <w:rPr>
                      <w:rFonts w:hint="eastAsia"/>
                      <w:color w:val="auto"/>
                      <w:lang w:val="en-US" w:eastAsia="zh-CN"/>
                    </w:rPr>
                    <w:t>8m</w:t>
                  </w:r>
                </w:p>
              </w:tc>
              <w:tc>
                <w:tcPr>
                  <w:tcW w:w="868" w:type="dxa"/>
                  <w:noWrap w:val="0"/>
                  <w:vAlign w:val="center"/>
                </w:tcPr>
                <w:p>
                  <w:pPr>
                    <w:spacing w:line="360" w:lineRule="auto"/>
                    <w:jc w:val="center"/>
                    <w:rPr>
                      <w:rFonts w:hint="default" w:eastAsia="宋体"/>
                      <w:color w:val="auto"/>
                      <w:lang w:val="en-US" w:eastAsia="zh-CN"/>
                    </w:rPr>
                  </w:pPr>
                  <w:r>
                    <w:rPr>
                      <w:rFonts w:hint="eastAsia"/>
                      <w:color w:val="auto"/>
                      <w:lang w:val="en-US" w:eastAsia="zh-CN"/>
                    </w:rPr>
                    <w:t>20人</w:t>
                  </w:r>
                </w:p>
              </w:tc>
              <w:tc>
                <w:tcPr>
                  <w:tcW w:w="2422" w:type="dxa"/>
                  <w:vMerge w:val="continue"/>
                  <w:noWrap w:val="0"/>
                  <w:vAlign w:val="center"/>
                </w:tcPr>
                <w:p>
                  <w:pPr>
                    <w:spacing w:line="360" w:lineRule="auto"/>
                    <w:jc w:val="center"/>
                    <w:rPr>
                      <w:color w:val="auto"/>
                    </w:rPr>
                  </w:pPr>
                </w:p>
              </w:tc>
            </w:tr>
          </w:tbl>
          <w:p>
            <w:pPr>
              <w:pStyle w:val="10"/>
              <w:rPr>
                <w:color w:val="auto"/>
              </w:rPr>
            </w:pPr>
          </w:p>
          <w:p>
            <w:pPr>
              <w:pStyle w:val="25"/>
              <w:spacing w:line="360" w:lineRule="auto"/>
              <w:ind w:left="0" w:leftChars="0" w:firstLine="498" w:firstLineChars="200"/>
              <w:rPr>
                <w:color w:val="auto"/>
                <w:spacing w:val="4"/>
                <w:sz w:val="24"/>
              </w:rPr>
            </w:pPr>
            <w:r>
              <w:rPr>
                <w:b/>
                <w:bCs/>
                <w:color w:val="auto"/>
                <w:spacing w:val="4"/>
                <w:sz w:val="24"/>
              </w:rPr>
              <w:t>4、地下水保护目标</w:t>
            </w:r>
            <w:r>
              <w:rPr>
                <w:color w:val="auto"/>
                <w:spacing w:val="4"/>
                <w:sz w:val="24"/>
              </w:rPr>
              <w:t>：</w:t>
            </w:r>
            <w:r>
              <w:rPr>
                <w:bCs/>
                <w:color w:val="auto"/>
                <w:sz w:val="24"/>
              </w:rPr>
              <w:t>本项目</w:t>
            </w:r>
            <w:r>
              <w:rPr>
                <w:color w:val="auto"/>
                <w:spacing w:val="4"/>
                <w:sz w:val="24"/>
              </w:rPr>
              <w:t>厂界外500m范围内无地下水集中式饮用水水源和热水、矿泉水、温泉等特殊地下水资源。</w:t>
            </w:r>
          </w:p>
          <w:p>
            <w:pPr>
              <w:snapToGrid w:val="0"/>
              <w:spacing w:line="360" w:lineRule="auto"/>
              <w:rPr>
                <w:color w:val="auto"/>
              </w:rPr>
            </w:pP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5011420</wp:posOffset>
                      </wp:positionH>
                      <wp:positionV relativeFrom="paragraph">
                        <wp:posOffset>4251325</wp:posOffset>
                      </wp:positionV>
                      <wp:extent cx="309880" cy="111125"/>
                      <wp:effectExtent l="0" t="0" r="13970" b="3175"/>
                      <wp:wrapNone/>
                      <wp:docPr id="54" name="矩形 54"/>
                      <wp:cNvGraphicFramePr/>
                      <a:graphic xmlns:a="http://schemas.openxmlformats.org/drawingml/2006/main">
                        <a:graphicData uri="http://schemas.microsoft.com/office/word/2010/wordprocessingShape">
                          <wps:wsp>
                            <wps:cNvSpPr/>
                            <wps:spPr>
                              <a:xfrm>
                                <a:off x="0" y="0"/>
                                <a:ext cx="309880" cy="111125"/>
                              </a:xfrm>
                              <a:prstGeom prst="rect">
                                <a:avLst/>
                              </a:prstGeom>
                              <a:solidFill>
                                <a:srgbClr val="FFFF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6pt;margin-top:334.75pt;height:8.75pt;width:24.4pt;z-index:251672576;v-text-anchor:middle;mso-width-relative:page;mso-height-relative:page;" fillcolor="#FFFF00" filled="t" stroked="f" coordsize="21600,21600" o:gfxdata="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7vGe9sAAAALAQAADwAAAAAAAAABACAA&#10;AAAiAAAAZHJzL2Rvd25yZXYueG1sUEsBAhQAFAAAAAgAh07iQFUILK9DAgAAZwQAAA4AAAAAAAAA&#10;AQAgAAAAKgEAAGRycy9lMm9Eb2MueG1sUEsFBgAAAAAGAAYAWQEAAN8FAAAAAA==&#10;">
                      <v:fill on="t" focussize="0,0"/>
                      <v:stroke on="f" weight="2pt"/>
                      <v:imagedata o:title=""/>
                      <o:lock v:ext="edit" aspectratio="f"/>
                    </v:rect>
                  </w:pict>
                </mc:Fallback>
              </mc:AlternateContent>
            </w:r>
            <w:r>
              <w:rPr>
                <w:color w:val="auto"/>
                <w:sz w:val="24"/>
              </w:rPr>
              <mc:AlternateContent>
                <mc:Choice Requires="wps">
                  <w:drawing>
                    <wp:anchor distT="0" distB="0" distL="114300" distR="114300" simplePos="0" relativeHeight="251671552" behindDoc="0" locked="0" layoutInCell="1" allowOverlap="1">
                      <wp:simplePos x="0" y="0"/>
                      <wp:positionH relativeFrom="column">
                        <wp:posOffset>5019040</wp:posOffset>
                      </wp:positionH>
                      <wp:positionV relativeFrom="paragraph">
                        <wp:posOffset>4121785</wp:posOffset>
                      </wp:positionV>
                      <wp:extent cx="309880" cy="111125"/>
                      <wp:effectExtent l="12700" t="12700" r="20320" b="28575"/>
                      <wp:wrapNone/>
                      <wp:docPr id="51" name="矩形 51"/>
                      <wp:cNvGraphicFramePr/>
                      <a:graphic xmlns:a="http://schemas.openxmlformats.org/drawingml/2006/main">
                        <a:graphicData uri="http://schemas.microsoft.com/office/word/2010/wordprocessingShape">
                          <wps:wsp>
                            <wps:cNvSpPr/>
                            <wps:spPr>
                              <a:xfrm>
                                <a:off x="0" y="0"/>
                                <a:ext cx="309880" cy="11112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2pt;margin-top:324.55pt;height:8.75pt;width:24.4pt;z-index:251671552;v-text-anchor:middle;mso-width-relative:page;mso-height-relative:page;" filled="f" stroked="t" coordsize="21600,21600" o:gfxdata="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erBc2QAAAAsBAAAPAAAAAAAAAAEAIAAAACIA&#10;AABkcnMvZG93bnJldi54bWxQSwECFAAUAAAACACHTuJAeMRLXUECAABnBAAADgAAAAAAAAABACAA&#10;AAAoAQAAZHJzL2Uyb0RvYy54bWxQSwUGAAAAAAYABgBZAQAA2wUAAAAA&#10;">
                      <v:fill on="f" focussize="0,0"/>
                      <v:stroke weight="2pt" color="#FF0000 [2404]" joinstyle="round"/>
                      <v:imagedata o:title=""/>
                      <o:lock v:ext="edit" aspectratio="f"/>
                    </v:rect>
                  </w:pict>
                </mc:Fallback>
              </mc:AlternateContent>
            </w:r>
            <w:r>
              <w:rPr>
                <w:color w:val="auto"/>
                <w:sz w:val="24"/>
              </w:rPr>
              <mc:AlternateContent>
                <mc:Choice Requires="wps">
                  <w:drawing>
                    <wp:anchor distT="0" distB="0" distL="114300" distR="114300" simplePos="0" relativeHeight="251670528" behindDoc="0" locked="0" layoutInCell="1" allowOverlap="1">
                      <wp:simplePos x="0" y="0"/>
                      <wp:positionH relativeFrom="column">
                        <wp:posOffset>5019040</wp:posOffset>
                      </wp:positionH>
                      <wp:positionV relativeFrom="paragraph">
                        <wp:posOffset>3999865</wp:posOffset>
                      </wp:positionV>
                      <wp:extent cx="309880" cy="111125"/>
                      <wp:effectExtent l="12700" t="12700" r="20320" b="28575"/>
                      <wp:wrapNone/>
                      <wp:docPr id="49" name="矩形 49"/>
                      <wp:cNvGraphicFramePr/>
                      <a:graphic xmlns:a="http://schemas.openxmlformats.org/drawingml/2006/main">
                        <a:graphicData uri="http://schemas.microsoft.com/office/word/2010/wordprocessingShape">
                          <wps:wsp>
                            <wps:cNvSpPr/>
                            <wps:spPr>
                              <a:xfrm>
                                <a:off x="0" y="0"/>
                                <a:ext cx="309880" cy="111125"/>
                              </a:xfrm>
                              <a:prstGeom prst="rect">
                                <a:avLst/>
                              </a:prstGeom>
                              <a:no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2pt;margin-top:314.95pt;height:8.75pt;width:24.4pt;z-index:251670528;v-text-anchor:middle;mso-width-relative:page;mso-height-relative:page;" filled="f" stroked="t" coordsize="21600,21600" o:gfxdata="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Er+32AAAAAsBAAAPAAAAAAAAAAEAIAAA&#10;ACIAAABkcnMvZG93bnJldi54bWxQSwECFAAUAAAACACHTuJAI4ztwEUCAABnBAAADgAAAAAAAAAB&#10;ACAAAAAnAQAAZHJzL2Uyb0RvYy54bWxQSwUGAAAAAAYABgBZAQAA3gUAAAAA&#10;">
                      <v:fill on="f" focussize="0,0"/>
                      <v:stroke weight="2pt" color="#92D050 [2404]" joinstyle="round"/>
                      <v:imagedata o:title=""/>
                      <o:lock v:ext="edit" aspectratio="f"/>
                    </v:rect>
                  </w:pict>
                </mc:Fallback>
              </mc:AlternateContent>
            </w:r>
            <w:r>
              <w:rPr>
                <w:color w:val="auto"/>
                <w:sz w:val="24"/>
              </w:rPr>
              <mc:AlternateContent>
                <mc:Choice Requires="wps">
                  <w:drawing>
                    <wp:anchor distT="0" distB="0" distL="114300" distR="114300" simplePos="0" relativeHeight="251669504" behindDoc="0" locked="0" layoutInCell="1" allowOverlap="1">
                      <wp:simplePos x="0" y="0"/>
                      <wp:positionH relativeFrom="column">
                        <wp:posOffset>4980940</wp:posOffset>
                      </wp:positionH>
                      <wp:positionV relativeFrom="paragraph">
                        <wp:posOffset>3855085</wp:posOffset>
                      </wp:positionV>
                      <wp:extent cx="309880" cy="111125"/>
                      <wp:effectExtent l="12700" t="12700" r="20320" b="28575"/>
                      <wp:wrapNone/>
                      <wp:docPr id="38" name="矩形 38"/>
                      <wp:cNvGraphicFramePr/>
                      <a:graphic xmlns:a="http://schemas.openxmlformats.org/drawingml/2006/main">
                        <a:graphicData uri="http://schemas.microsoft.com/office/word/2010/wordprocessingShape">
                          <wps:wsp>
                            <wps:cNvSpPr/>
                            <wps:spPr>
                              <a:xfrm>
                                <a:off x="6240145" y="4941570"/>
                                <a:ext cx="309880" cy="111125"/>
                              </a:xfrm>
                              <a:prstGeom prst="rect">
                                <a:avLst/>
                              </a:prstGeom>
                              <a:noFill/>
                              <a:ln>
                                <a:solidFill>
                                  <a:srgbClr val="1D1DA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2pt;margin-top:303.55pt;height:8.75pt;width:24.4pt;z-index:251669504;v-text-anchor:middle;mso-width-relative:page;mso-height-relative:page;" filled="f" stroked="t" coordsize="21600,21600" o:gfxdata="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kMHztsAAAALAQAA&#10;DwAAAAAAAAABACAAAAAiAAAAZHJzL2Rvd25yZXYueG1sUEsBAhQAFAAAAAgAh07iQAJTZ7tPAgAA&#10;cwQAAA4AAAAAAAAAAQAgAAAAKgEAAGRycy9lMm9Eb2MueG1sUEsFBgAAAAAGAAYAWQEAAOsFAAAA&#10;AA==&#10;">
                      <v:fill on="f" focussize="0,0"/>
                      <v:stroke weight="2pt" color="#1D1DA2 [2404]" joinstyle="round"/>
                      <v:imagedata o:title=""/>
                      <o:lock v:ext="edit" aspectratio="f"/>
                    </v:rect>
                  </w:pict>
                </mc:Fallback>
              </mc:AlternateContent>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4314190</wp:posOffset>
                      </wp:positionH>
                      <wp:positionV relativeFrom="paragraph">
                        <wp:posOffset>3672205</wp:posOffset>
                      </wp:positionV>
                      <wp:extent cx="1079500" cy="754380"/>
                      <wp:effectExtent l="4445" t="4445" r="20955" b="22225"/>
                      <wp:wrapNone/>
                      <wp:docPr id="27" name="文本框 27"/>
                      <wp:cNvGraphicFramePr/>
                      <a:graphic xmlns:a="http://schemas.openxmlformats.org/drawingml/2006/main">
                        <a:graphicData uri="http://schemas.microsoft.com/office/word/2010/wordprocessingShape">
                          <wps:wsp>
                            <wps:cNvSpPr txBox="1"/>
                            <wps:spPr>
                              <a:xfrm>
                                <a:off x="5359400" y="4274820"/>
                                <a:ext cx="1079500" cy="754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6"/>
                                      <w:szCs w:val="20"/>
                                      <w:lang w:val="en-US" w:eastAsia="zh-CN"/>
                                    </w:rPr>
                                  </w:pPr>
                                  <w:r>
                                    <w:rPr>
                                      <w:rFonts w:hint="eastAsia"/>
                                      <w:sz w:val="16"/>
                                      <w:szCs w:val="20"/>
                                      <w:lang w:val="en-US" w:eastAsia="zh-CN"/>
                                    </w:rPr>
                                    <w:t>图例</w:t>
                                  </w:r>
                                </w:p>
                                <w:p>
                                  <w:pPr>
                                    <w:pStyle w:val="25"/>
                                    <w:ind w:left="0" w:leftChars="0" w:firstLine="0" w:firstLineChars="0"/>
                                    <w:rPr>
                                      <w:rFonts w:hint="eastAsia"/>
                                      <w:sz w:val="16"/>
                                      <w:szCs w:val="20"/>
                                      <w:lang w:val="en-US" w:eastAsia="zh-CN"/>
                                    </w:rPr>
                                  </w:pPr>
                                  <w:r>
                                    <w:rPr>
                                      <w:rFonts w:hint="eastAsia"/>
                                      <w:sz w:val="16"/>
                                      <w:szCs w:val="20"/>
                                      <w:lang w:val="en-US" w:eastAsia="zh-CN"/>
                                    </w:rPr>
                                    <w:t>厂界</w:t>
                                  </w:r>
                                </w:p>
                                <w:p>
                                  <w:pPr>
                                    <w:rPr>
                                      <w:rFonts w:hint="eastAsia"/>
                                      <w:sz w:val="16"/>
                                      <w:szCs w:val="20"/>
                                      <w:lang w:val="en-US" w:eastAsia="zh-CN"/>
                                    </w:rPr>
                                  </w:pPr>
                                  <w:r>
                                    <w:rPr>
                                      <w:rFonts w:hint="eastAsia"/>
                                      <w:sz w:val="16"/>
                                      <w:szCs w:val="20"/>
                                      <w:lang w:val="en-US" w:eastAsia="zh-CN"/>
                                    </w:rPr>
                                    <w:t>大气评价范围</w:t>
                                  </w:r>
                                </w:p>
                                <w:p>
                                  <w:pPr>
                                    <w:pStyle w:val="25"/>
                                    <w:ind w:left="0" w:leftChars="0" w:firstLine="0" w:firstLineChars="0"/>
                                    <w:rPr>
                                      <w:rFonts w:hint="eastAsia"/>
                                      <w:sz w:val="16"/>
                                      <w:szCs w:val="20"/>
                                      <w:lang w:val="en-US" w:eastAsia="zh-CN"/>
                                    </w:rPr>
                                  </w:pPr>
                                  <w:r>
                                    <w:rPr>
                                      <w:rFonts w:hint="eastAsia"/>
                                      <w:sz w:val="16"/>
                                      <w:szCs w:val="20"/>
                                      <w:lang w:val="en-US" w:eastAsia="zh-CN"/>
                                    </w:rPr>
                                    <w:t>声评价范围</w:t>
                                  </w:r>
                                </w:p>
                                <w:p>
                                  <w:pPr>
                                    <w:rPr>
                                      <w:rFonts w:hint="default"/>
                                      <w:sz w:val="16"/>
                                      <w:szCs w:val="20"/>
                                      <w:lang w:val="en-US" w:eastAsia="zh-CN"/>
                                    </w:rPr>
                                  </w:pPr>
                                  <w:r>
                                    <w:rPr>
                                      <w:rFonts w:hint="eastAsia"/>
                                      <w:sz w:val="16"/>
                                      <w:szCs w:val="20"/>
                                      <w:lang w:val="en-US" w:eastAsia="zh-CN"/>
                                    </w:rPr>
                                    <w:t>敏感目标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7pt;margin-top:289.15pt;height:59.4pt;width:85pt;z-index:251668480;mso-width-relative:page;mso-height-relative:page;" fillcolor="#FFFFFF [3201]" filled="t" stroked="t" coordsize="21600,21600" o:gfxdata="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Qfn/bXAAAACwEAAA8AAAAAAAAA&#10;AQAgAAAAIgAAAGRycy9kb3ducmV2LnhtbFBLAQIUABQAAAAIAIdO4kBFht5oSwIAAHcEAAAOAAAA&#10;AAAAAAEAIAAAACYBAABkcnMvZTJvRG9jLnhtbFBLBQYAAAAABgAGAFkBAADjBQAAAAA=&#10;">
                      <v:fill on="t" focussize="0,0"/>
                      <v:stroke weight="0.5pt" color="#000000 [3204]" joinstyle="round"/>
                      <v:imagedata o:title=""/>
                      <o:lock v:ext="edit" aspectratio="f"/>
                      <v:textbox>
                        <w:txbxContent>
                          <w:p>
                            <w:pPr>
                              <w:jc w:val="center"/>
                              <w:rPr>
                                <w:rFonts w:hint="eastAsia"/>
                                <w:sz w:val="16"/>
                                <w:szCs w:val="20"/>
                                <w:lang w:val="en-US" w:eastAsia="zh-CN"/>
                              </w:rPr>
                            </w:pPr>
                            <w:r>
                              <w:rPr>
                                <w:rFonts w:hint="eastAsia"/>
                                <w:sz w:val="16"/>
                                <w:szCs w:val="20"/>
                                <w:lang w:val="en-US" w:eastAsia="zh-CN"/>
                              </w:rPr>
                              <w:t>图例</w:t>
                            </w:r>
                          </w:p>
                          <w:p>
                            <w:pPr>
                              <w:pStyle w:val="25"/>
                              <w:ind w:left="0" w:leftChars="0" w:firstLine="0" w:firstLineChars="0"/>
                              <w:rPr>
                                <w:rFonts w:hint="eastAsia"/>
                                <w:sz w:val="16"/>
                                <w:szCs w:val="20"/>
                                <w:lang w:val="en-US" w:eastAsia="zh-CN"/>
                              </w:rPr>
                            </w:pPr>
                            <w:r>
                              <w:rPr>
                                <w:rFonts w:hint="eastAsia"/>
                                <w:sz w:val="16"/>
                                <w:szCs w:val="20"/>
                                <w:lang w:val="en-US" w:eastAsia="zh-CN"/>
                              </w:rPr>
                              <w:t>厂界</w:t>
                            </w:r>
                          </w:p>
                          <w:p>
                            <w:pPr>
                              <w:rPr>
                                <w:rFonts w:hint="eastAsia"/>
                                <w:sz w:val="16"/>
                                <w:szCs w:val="20"/>
                                <w:lang w:val="en-US" w:eastAsia="zh-CN"/>
                              </w:rPr>
                            </w:pPr>
                            <w:r>
                              <w:rPr>
                                <w:rFonts w:hint="eastAsia"/>
                                <w:sz w:val="16"/>
                                <w:szCs w:val="20"/>
                                <w:lang w:val="en-US" w:eastAsia="zh-CN"/>
                              </w:rPr>
                              <w:t>大气评价范围</w:t>
                            </w:r>
                          </w:p>
                          <w:p>
                            <w:pPr>
                              <w:pStyle w:val="25"/>
                              <w:ind w:left="0" w:leftChars="0" w:firstLine="0" w:firstLineChars="0"/>
                              <w:rPr>
                                <w:rFonts w:hint="eastAsia"/>
                                <w:sz w:val="16"/>
                                <w:szCs w:val="20"/>
                                <w:lang w:val="en-US" w:eastAsia="zh-CN"/>
                              </w:rPr>
                            </w:pPr>
                            <w:r>
                              <w:rPr>
                                <w:rFonts w:hint="eastAsia"/>
                                <w:sz w:val="16"/>
                                <w:szCs w:val="20"/>
                                <w:lang w:val="en-US" w:eastAsia="zh-CN"/>
                              </w:rPr>
                              <w:t>声评价范围</w:t>
                            </w:r>
                          </w:p>
                          <w:p>
                            <w:pPr>
                              <w:rPr>
                                <w:rFonts w:hint="default"/>
                                <w:sz w:val="16"/>
                                <w:szCs w:val="20"/>
                                <w:lang w:val="en-US" w:eastAsia="zh-CN"/>
                              </w:rPr>
                            </w:pPr>
                            <w:r>
                              <w:rPr>
                                <w:rFonts w:hint="eastAsia"/>
                                <w:sz w:val="16"/>
                                <w:szCs w:val="20"/>
                                <w:lang w:val="en-US" w:eastAsia="zh-CN"/>
                              </w:rPr>
                              <w:t>敏感目标</w:t>
                            </w:r>
                          </w:p>
                        </w:txbxContent>
                      </v:textbox>
                    </v:shape>
                  </w:pict>
                </mc:Fallback>
              </mc:AlternateContent>
            </w:r>
            <w:r>
              <w:rPr>
                <w:rFonts w:hint="eastAsia" w:eastAsia="宋体"/>
                <w:color w:val="auto"/>
                <w:sz w:val="24"/>
                <w:lang w:eastAsia="zh-CN"/>
              </w:rPr>
              <w:drawing>
                <wp:anchor distT="0" distB="0" distL="114300" distR="114300" simplePos="0" relativeHeight="251659264" behindDoc="0" locked="0" layoutInCell="1" allowOverlap="1">
                  <wp:simplePos x="0" y="0"/>
                  <wp:positionH relativeFrom="column">
                    <wp:posOffset>4624705</wp:posOffset>
                  </wp:positionH>
                  <wp:positionV relativeFrom="paragraph">
                    <wp:posOffset>5080</wp:posOffset>
                  </wp:positionV>
                  <wp:extent cx="814705" cy="897890"/>
                  <wp:effectExtent l="0" t="0" r="4445" b="16510"/>
                  <wp:wrapNone/>
                  <wp:docPr id="2" name="图片 6" descr="ccff2cfdb4e5c4eb98dd252b682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cff2cfdb4e5c4eb98dd252b68231328"/>
                          <pic:cNvPicPr>
                            <a:picLocks noChangeAspect="1"/>
                          </pic:cNvPicPr>
                        </pic:nvPicPr>
                        <pic:blipFill>
                          <a:blip r:embed="rId27"/>
                          <a:stretch>
                            <a:fillRect/>
                          </a:stretch>
                        </pic:blipFill>
                        <pic:spPr>
                          <a:xfrm>
                            <a:off x="0" y="0"/>
                            <a:ext cx="814705" cy="897890"/>
                          </a:xfrm>
                          <a:prstGeom prst="rect">
                            <a:avLst/>
                          </a:prstGeom>
                          <a:noFill/>
                          <a:ln>
                            <a:noFill/>
                          </a:ln>
                        </pic:spPr>
                      </pic:pic>
                    </a:graphicData>
                  </a:graphic>
                </wp:anchor>
              </w:drawing>
            </w:r>
            <w:r>
              <w:drawing>
                <wp:inline distT="0" distB="0" distL="114300" distR="114300">
                  <wp:extent cx="5374005" cy="4909820"/>
                  <wp:effectExtent l="0" t="0" r="17145" b="5080"/>
                  <wp:docPr id="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pic:cNvPicPr>
                            <a:picLocks noChangeAspect="1"/>
                          </pic:cNvPicPr>
                        </pic:nvPicPr>
                        <pic:blipFill>
                          <a:blip r:embed="rId28"/>
                          <a:stretch>
                            <a:fillRect/>
                          </a:stretch>
                        </pic:blipFill>
                        <pic:spPr>
                          <a:xfrm>
                            <a:off x="0" y="0"/>
                            <a:ext cx="5374005" cy="4909820"/>
                          </a:xfrm>
                          <a:prstGeom prst="rect">
                            <a:avLst/>
                          </a:prstGeom>
                          <a:noFill/>
                          <a:ln>
                            <a:noFill/>
                          </a:ln>
                        </pic:spPr>
                      </pic:pic>
                    </a:graphicData>
                  </a:graphic>
                </wp:inline>
              </w:drawing>
            </w:r>
          </w:p>
          <w:p>
            <w:pPr>
              <w:adjustRightInd w:val="0"/>
              <w:snapToGrid w:val="0"/>
              <w:spacing w:line="360" w:lineRule="auto"/>
              <w:ind w:firstLine="482" w:firstLineChars="200"/>
              <w:jc w:val="center"/>
              <w:rPr>
                <w:rFonts w:hint="eastAsia"/>
                <w:color w:val="auto"/>
              </w:rPr>
            </w:pPr>
            <w:r>
              <w:rPr>
                <w:rFonts w:hint="eastAsia"/>
                <w:b/>
                <w:color w:val="auto"/>
                <w:kern w:val="0"/>
                <w:sz w:val="24"/>
                <w:szCs w:val="24"/>
              </w:rPr>
              <w:t>图3-</w:t>
            </w:r>
            <w:r>
              <w:rPr>
                <w:rFonts w:hint="eastAsia"/>
                <w:b/>
                <w:color w:val="auto"/>
                <w:kern w:val="0"/>
                <w:sz w:val="24"/>
                <w:szCs w:val="24"/>
                <w:lang w:val="en-US" w:eastAsia="zh-CN"/>
              </w:rPr>
              <w:t>2</w:t>
            </w:r>
            <w:r>
              <w:rPr>
                <w:rFonts w:hint="eastAsia"/>
                <w:b/>
                <w:color w:val="auto"/>
                <w:kern w:val="0"/>
                <w:sz w:val="24"/>
                <w:szCs w:val="24"/>
              </w:rPr>
              <w:t xml:space="preserve">  环境保护目标分布图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452" w:type="dxa"/>
            <w:noWrap w:val="0"/>
            <w:tcMar>
              <w:left w:w="28" w:type="dxa"/>
              <w:right w:w="28" w:type="dxa"/>
            </w:tcMar>
            <w:vAlign w:val="center"/>
          </w:tcPr>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Cs w:val="21"/>
              </w:rPr>
            </w:pPr>
            <w:r>
              <w:rPr>
                <w:color w:val="auto"/>
                <w:kern w:val="0"/>
                <w:sz w:val="24"/>
              </w:rPr>
              <w:t>准</w:t>
            </w:r>
          </w:p>
        </w:tc>
        <w:tc>
          <w:tcPr>
            <w:tcW w:w="8609" w:type="dxa"/>
            <w:noWrap w:val="0"/>
            <w:vAlign w:val="center"/>
          </w:tcPr>
          <w:p>
            <w:pPr>
              <w:numPr>
                <w:ilvl w:val="0"/>
                <w:numId w:val="0"/>
              </w:numPr>
              <w:adjustRightInd w:val="0"/>
              <w:snapToGrid w:val="0"/>
              <w:spacing w:line="360" w:lineRule="auto"/>
              <w:ind w:firstLine="482" w:firstLineChars="200"/>
              <w:rPr>
                <w:b/>
                <w:bCs/>
                <w:color w:val="auto"/>
                <w:sz w:val="24"/>
              </w:rPr>
            </w:pPr>
            <w:r>
              <w:rPr>
                <w:b/>
                <w:bCs/>
                <w:color w:val="auto"/>
                <w:kern w:val="2"/>
                <w:sz w:val="24"/>
                <w:szCs w:val="24"/>
                <w:lang w:val="en-US" w:eastAsia="zh-CN" w:bidi="ar-SA"/>
              </w:rPr>
              <w:t>1、</w:t>
            </w:r>
            <w:r>
              <w:rPr>
                <w:b/>
                <w:bCs/>
                <w:color w:val="auto"/>
                <w:sz w:val="24"/>
              </w:rPr>
              <w:t>大气污染物排放标准</w:t>
            </w:r>
          </w:p>
          <w:p>
            <w:pPr>
              <w:spacing w:line="360" w:lineRule="auto"/>
              <w:ind w:firstLine="480" w:firstLineChars="200"/>
              <w:contextualSpacing/>
              <w:jc w:val="left"/>
              <w:rPr>
                <w:bCs/>
                <w:color w:val="auto"/>
                <w:kern w:val="0"/>
                <w:sz w:val="24"/>
              </w:rPr>
            </w:pPr>
            <w:r>
              <w:rPr>
                <w:rFonts w:ascii="Times New Roman" w:hAnsi="Times New Roman" w:cs="Times New Roman"/>
                <w:bCs/>
                <w:color w:val="auto"/>
                <w:kern w:val="0"/>
                <w:sz w:val="24"/>
              </w:rPr>
              <w:t>施工期扬尘</w:t>
            </w:r>
            <w:r>
              <w:rPr>
                <w:rFonts w:hint="eastAsia" w:ascii="Times New Roman" w:hAnsi="Times New Roman" w:cs="Times New Roman"/>
                <w:bCs/>
                <w:color w:val="auto"/>
                <w:kern w:val="0"/>
                <w:sz w:val="24"/>
                <w:lang w:val="en-US" w:eastAsia="zh-CN"/>
              </w:rPr>
              <w:t>及运营期厂界颗粒物</w:t>
            </w:r>
            <w:r>
              <w:rPr>
                <w:rFonts w:ascii="Times New Roman" w:hAnsi="Times New Roman" w:cs="Times New Roman"/>
                <w:bCs/>
                <w:color w:val="auto"/>
                <w:kern w:val="0"/>
                <w:sz w:val="24"/>
              </w:rPr>
              <w:t>执行《大气污染物综合排放标准》（GB16297-1996）中无组织排放限值</w:t>
            </w:r>
            <w:r>
              <w:rPr>
                <w:bCs/>
                <w:color w:val="auto"/>
                <w:kern w:val="0"/>
                <w:sz w:val="24"/>
              </w:rPr>
              <w:t>要求</w:t>
            </w:r>
            <w:r>
              <w:rPr>
                <w:rFonts w:hint="eastAsia"/>
                <w:bCs/>
                <w:color w:val="auto"/>
                <w:kern w:val="0"/>
                <w:sz w:val="24"/>
              </w:rPr>
              <w:t>。</w:t>
            </w:r>
          </w:p>
          <w:p>
            <w:pPr>
              <w:jc w:val="center"/>
              <w:rPr>
                <w:b/>
                <w:color w:val="auto"/>
                <w:sz w:val="24"/>
                <w:szCs w:val="24"/>
              </w:rPr>
            </w:pPr>
            <w:r>
              <w:rPr>
                <w:b/>
                <w:color w:val="auto"/>
                <w:sz w:val="24"/>
                <w:szCs w:val="24"/>
              </w:rPr>
              <w:t>表3-7  大气污染物综合排放标准  单位：mg/m</w:t>
            </w:r>
            <w:r>
              <w:rPr>
                <w:b/>
                <w:color w:val="auto"/>
                <w:sz w:val="24"/>
                <w:szCs w:val="24"/>
                <w:vertAlign w:val="superscript"/>
              </w:rPr>
              <w:t>3</w:t>
            </w:r>
          </w:p>
          <w:tbl>
            <w:tblPr>
              <w:tblStyle w:val="30"/>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957"/>
              <w:gridCol w:w="2416"/>
              <w:gridCol w:w="3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00" w:type="dxa"/>
                  <w:tcBorders>
                    <w:top w:val="single" w:color="auto" w:sz="12" w:space="0"/>
                    <w:left w:val="nil"/>
                    <w:bottom w:val="single" w:color="auto" w:sz="4"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污染物</w:t>
                  </w:r>
                </w:p>
              </w:tc>
              <w:tc>
                <w:tcPr>
                  <w:tcW w:w="957" w:type="dxa"/>
                  <w:tcBorders>
                    <w:top w:val="single" w:color="auto" w:sz="12" w:space="0"/>
                    <w:left w:val="single" w:color="auto" w:sz="4" w:space="0"/>
                    <w:bottom w:val="single" w:color="auto" w:sz="4"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限值</w:t>
                  </w:r>
                </w:p>
              </w:tc>
              <w:tc>
                <w:tcPr>
                  <w:tcW w:w="2416" w:type="dxa"/>
                  <w:tcBorders>
                    <w:top w:val="single" w:color="auto" w:sz="12" w:space="0"/>
                    <w:left w:val="single" w:color="auto" w:sz="4" w:space="0"/>
                    <w:bottom w:val="single" w:color="auto" w:sz="4"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限制含义</w:t>
                  </w:r>
                </w:p>
              </w:tc>
              <w:tc>
                <w:tcPr>
                  <w:tcW w:w="3520" w:type="dxa"/>
                  <w:tcBorders>
                    <w:top w:val="single" w:color="auto" w:sz="12" w:space="0"/>
                    <w:left w:val="single" w:color="auto" w:sz="4" w:space="0"/>
                    <w:bottom w:val="single" w:color="auto" w:sz="4" w:space="0"/>
                    <w:right w:val="nil"/>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00" w:type="dxa"/>
                  <w:tcBorders>
                    <w:top w:val="single" w:color="auto" w:sz="4" w:space="0"/>
                    <w:left w:val="nil"/>
                    <w:bottom w:val="single" w:color="auto" w:sz="12"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颗粒物</w:t>
                  </w:r>
                </w:p>
              </w:tc>
              <w:tc>
                <w:tcPr>
                  <w:tcW w:w="957" w:type="dxa"/>
                  <w:tcBorders>
                    <w:top w:val="single" w:color="auto" w:sz="4" w:space="0"/>
                    <w:left w:val="single" w:color="auto" w:sz="4" w:space="0"/>
                    <w:bottom w:val="single" w:color="auto" w:sz="12"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1.0</w:t>
                  </w:r>
                </w:p>
              </w:tc>
              <w:tc>
                <w:tcPr>
                  <w:tcW w:w="2416" w:type="dxa"/>
                  <w:tcBorders>
                    <w:top w:val="single" w:color="auto" w:sz="4" w:space="0"/>
                    <w:left w:val="single" w:color="auto" w:sz="4" w:space="0"/>
                    <w:bottom w:val="single" w:color="auto" w:sz="12"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无组织排放浓度</w:t>
                  </w:r>
                </w:p>
              </w:tc>
              <w:tc>
                <w:tcPr>
                  <w:tcW w:w="3520" w:type="dxa"/>
                  <w:tcBorders>
                    <w:top w:val="single" w:color="auto" w:sz="4" w:space="0"/>
                    <w:left w:val="single" w:color="auto" w:sz="4" w:space="0"/>
                    <w:bottom w:val="single" w:color="auto" w:sz="12" w:space="0"/>
                    <w:right w:val="nil"/>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周界外浓度最高点</w:t>
                  </w:r>
                </w:p>
              </w:tc>
            </w:tr>
          </w:tbl>
          <w:p>
            <w:pPr>
              <w:spacing w:line="360" w:lineRule="auto"/>
              <w:ind w:firstLine="480" w:firstLineChars="200"/>
              <w:contextualSpacing/>
              <w:jc w:val="left"/>
              <w:rPr>
                <w:color w:val="auto"/>
                <w:sz w:val="24"/>
              </w:rPr>
            </w:pPr>
            <w:r>
              <w:rPr>
                <w:rFonts w:hint="eastAsia"/>
                <w:color w:val="auto"/>
                <w:kern w:val="0"/>
                <w:sz w:val="24"/>
              </w:rPr>
              <w:t>本项目锅炉烟气</w:t>
            </w:r>
            <w:r>
              <w:rPr>
                <w:color w:val="auto"/>
                <w:kern w:val="0"/>
                <w:sz w:val="24"/>
              </w:rPr>
              <w:t>执行《锅炉大气污染物排放标准》（GB13271-2014）表2</w:t>
            </w:r>
            <w:r>
              <w:rPr>
                <w:rFonts w:hint="eastAsia"/>
                <w:color w:val="auto"/>
                <w:kern w:val="0"/>
                <w:sz w:val="24"/>
              </w:rPr>
              <w:t>新建燃煤锅炉</w:t>
            </w:r>
            <w:r>
              <w:rPr>
                <w:color w:val="auto"/>
                <w:kern w:val="0"/>
                <w:sz w:val="24"/>
              </w:rPr>
              <w:t>大气污染物排放限值要求</w:t>
            </w:r>
            <w:r>
              <w:rPr>
                <w:rFonts w:hint="eastAsia"/>
                <w:bCs/>
                <w:color w:val="auto"/>
                <w:kern w:val="0"/>
                <w:sz w:val="24"/>
              </w:rPr>
              <w:t>。</w:t>
            </w:r>
          </w:p>
          <w:p>
            <w:pPr>
              <w:jc w:val="center"/>
              <w:rPr>
                <w:b/>
                <w:bCs/>
                <w:color w:val="auto"/>
                <w:sz w:val="24"/>
                <w:szCs w:val="32"/>
              </w:rPr>
            </w:pPr>
            <w:r>
              <w:rPr>
                <w:b/>
                <w:bCs/>
                <w:color w:val="auto"/>
                <w:sz w:val="24"/>
                <w:szCs w:val="32"/>
              </w:rPr>
              <w:t>表</w:t>
            </w:r>
            <w:r>
              <w:rPr>
                <w:rFonts w:hint="eastAsia"/>
                <w:b/>
                <w:bCs/>
                <w:color w:val="auto"/>
                <w:sz w:val="24"/>
                <w:szCs w:val="32"/>
              </w:rPr>
              <w:t>3-</w:t>
            </w:r>
            <w:r>
              <w:rPr>
                <w:b/>
                <w:bCs/>
                <w:color w:val="auto"/>
                <w:sz w:val="24"/>
                <w:szCs w:val="32"/>
              </w:rPr>
              <w:t xml:space="preserve">8 </w:t>
            </w:r>
            <w:r>
              <w:rPr>
                <w:rFonts w:hint="eastAsia"/>
                <w:b/>
                <w:bCs/>
                <w:color w:val="auto"/>
                <w:sz w:val="24"/>
                <w:szCs w:val="32"/>
              </w:rPr>
              <w:t xml:space="preserve"> </w:t>
            </w:r>
            <w:r>
              <w:rPr>
                <w:b/>
                <w:bCs/>
                <w:color w:val="auto"/>
                <w:sz w:val="24"/>
                <w:szCs w:val="32"/>
              </w:rPr>
              <w:t>锅炉大气污染物排放标准</w:t>
            </w:r>
            <w:r>
              <w:rPr>
                <w:rFonts w:hint="eastAsia"/>
                <w:b/>
                <w:bCs/>
                <w:color w:val="auto"/>
                <w:sz w:val="24"/>
                <w:szCs w:val="32"/>
              </w:rPr>
              <w:t xml:space="preserve">   单位：mg/m</w:t>
            </w:r>
            <w:r>
              <w:rPr>
                <w:rFonts w:hint="eastAsia"/>
                <w:b/>
                <w:bCs/>
                <w:color w:val="auto"/>
                <w:sz w:val="24"/>
                <w:szCs w:val="32"/>
                <w:vertAlign w:val="superscript"/>
              </w:rPr>
              <w:t>3</w:t>
            </w:r>
          </w:p>
          <w:tbl>
            <w:tblPr>
              <w:tblStyle w:val="30"/>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0"/>
              <w:gridCol w:w="4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4270" w:type="dxa"/>
                  <w:vMerge w:val="restart"/>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污染物项目</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ascii="Times New Roman" w:hAnsi="Times New Roman"/>
                      <w:color w:val="auto"/>
                      <w:sz w:val="21"/>
                      <w:szCs w:val="21"/>
                    </w:rPr>
                    <w:t>排放</w:t>
                  </w:r>
                  <w:r>
                    <w:rPr>
                      <w:rFonts w:ascii="Times New Roman" w:hAnsi="Times New Roman"/>
                      <w:color w:val="auto"/>
                      <w:sz w:val="21"/>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4270" w:type="dxa"/>
                  <w:vMerge w:val="continue"/>
                  <w:noWrap w:val="0"/>
                  <w:vAlign w:val="center"/>
                </w:tcPr>
                <w:p>
                  <w:pPr>
                    <w:spacing w:line="0" w:lineRule="atLeast"/>
                    <w:contextualSpacing/>
                    <w:jc w:val="center"/>
                    <w:rPr>
                      <w:color w:val="auto"/>
                      <w:szCs w:val="21"/>
                    </w:rPr>
                  </w:pP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燃煤锅炉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颗粒物</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5</w:t>
                  </w:r>
                  <w:r>
                    <w:rPr>
                      <w:rFonts w:hint="eastAsia" w:ascii="Times New Roman" w:hAnsi="Times New Roman"/>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二氧化硫</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氮氧化物</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林格曼黑度</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color w:val="auto"/>
                      <w:sz w:val="21"/>
                      <w:szCs w:val="21"/>
                    </w:rPr>
                    <w:t>≤</w:t>
                  </w: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汞及其化合物</w:t>
                  </w:r>
                </w:p>
              </w:tc>
              <w:tc>
                <w:tcPr>
                  <w:tcW w:w="4123" w:type="dxa"/>
                  <w:noWrap w:val="0"/>
                  <w:vAlign w:val="center"/>
                </w:tcPr>
                <w:p>
                  <w:pPr>
                    <w:pStyle w:val="27"/>
                    <w:widowControl w:val="0"/>
                    <w:spacing w:before="0" w:beforeAutospacing="0" w:after="0" w:afterAutospacing="0" w:line="0" w:lineRule="atLeast"/>
                    <w:contextualSpacing/>
                    <w:jc w:val="center"/>
                    <w:rPr>
                      <w:rFonts w:hint="default" w:eastAsia="宋体"/>
                      <w:color w:val="auto"/>
                      <w:sz w:val="21"/>
                      <w:szCs w:val="21"/>
                      <w:lang w:val="en-US" w:eastAsia="zh-CN"/>
                    </w:rPr>
                  </w:pPr>
                  <w:r>
                    <w:rPr>
                      <w:rFonts w:hint="default" w:ascii="Times New Roman" w:hAnsi="Times New Roman" w:cs="Times New Roman"/>
                      <w:color w:val="auto"/>
                      <w:sz w:val="21"/>
                      <w:szCs w:val="21"/>
                      <w:lang w:val="en-US" w:eastAsia="zh-CN"/>
                    </w:rPr>
                    <w:t>0.05</w:t>
                  </w:r>
                </w:p>
              </w:tc>
            </w:tr>
          </w:tbl>
          <w:p>
            <w:pPr>
              <w:numPr>
                <w:ilvl w:val="0"/>
                <w:numId w:val="0"/>
              </w:numPr>
              <w:adjustRightInd w:val="0"/>
              <w:snapToGrid w:val="0"/>
              <w:spacing w:line="360" w:lineRule="auto"/>
              <w:ind w:firstLine="482" w:firstLineChars="200"/>
              <w:rPr>
                <w:b/>
                <w:bCs/>
                <w:color w:val="auto"/>
                <w:sz w:val="24"/>
              </w:rPr>
            </w:pPr>
            <w:r>
              <w:rPr>
                <w:b/>
                <w:bCs/>
                <w:color w:val="auto"/>
                <w:kern w:val="2"/>
                <w:sz w:val="24"/>
                <w:szCs w:val="24"/>
                <w:lang w:val="en-US" w:eastAsia="zh-CN" w:bidi="ar-SA"/>
              </w:rPr>
              <w:t>2、</w:t>
            </w:r>
            <w:r>
              <w:rPr>
                <w:b/>
                <w:bCs/>
                <w:color w:val="auto"/>
                <w:sz w:val="24"/>
              </w:rPr>
              <w:t>噪声排放标准</w:t>
            </w:r>
          </w:p>
          <w:p>
            <w:pPr>
              <w:adjustRightInd w:val="0"/>
              <w:spacing w:line="360" w:lineRule="auto"/>
              <w:ind w:firstLine="480" w:firstLineChars="200"/>
              <w:textAlignment w:val="baseline"/>
              <w:rPr>
                <w:color w:val="auto"/>
                <w:kern w:val="0"/>
                <w:sz w:val="24"/>
              </w:rPr>
            </w:pPr>
            <w:r>
              <w:rPr>
                <w:color w:val="auto"/>
                <w:kern w:val="0"/>
                <w:sz w:val="24"/>
              </w:rPr>
              <w:t>施工期厂界噪声执行《建筑施工场界环境噪声排放标准》</w:t>
            </w:r>
            <w:r>
              <w:rPr>
                <w:rFonts w:hint="eastAsia"/>
                <w:color w:val="auto"/>
                <w:kern w:val="0"/>
                <w:sz w:val="24"/>
                <w:lang w:eastAsia="zh-CN"/>
              </w:rPr>
              <w:t>（</w:t>
            </w:r>
            <w:r>
              <w:rPr>
                <w:color w:val="auto"/>
                <w:kern w:val="0"/>
                <w:sz w:val="24"/>
              </w:rPr>
              <w:t>GB12523-2011</w:t>
            </w:r>
            <w:r>
              <w:rPr>
                <w:rFonts w:hint="eastAsia"/>
                <w:color w:val="auto"/>
                <w:kern w:val="0"/>
                <w:sz w:val="24"/>
                <w:lang w:eastAsia="zh-CN"/>
              </w:rPr>
              <w:t>）</w:t>
            </w:r>
            <w:r>
              <w:rPr>
                <w:color w:val="auto"/>
                <w:kern w:val="0"/>
                <w:sz w:val="24"/>
              </w:rPr>
              <w:t>，见表3</w:t>
            </w:r>
            <w:r>
              <w:rPr>
                <w:rFonts w:hint="eastAsia"/>
                <w:color w:val="auto"/>
                <w:kern w:val="0"/>
                <w:sz w:val="24"/>
              </w:rPr>
              <w:t>-</w:t>
            </w:r>
            <w:r>
              <w:rPr>
                <w:color w:val="auto"/>
                <w:kern w:val="0"/>
                <w:sz w:val="24"/>
              </w:rPr>
              <w:t>9。</w:t>
            </w:r>
          </w:p>
          <w:p>
            <w:pPr>
              <w:jc w:val="center"/>
              <w:rPr>
                <w:b/>
                <w:bCs/>
                <w:color w:val="auto"/>
                <w:sz w:val="24"/>
                <w:szCs w:val="32"/>
              </w:rPr>
            </w:pPr>
            <w:r>
              <w:rPr>
                <w:b/>
                <w:bCs/>
                <w:color w:val="auto"/>
                <w:sz w:val="24"/>
                <w:szCs w:val="32"/>
              </w:rPr>
              <w:t>表3</w:t>
            </w:r>
            <w:r>
              <w:rPr>
                <w:rFonts w:hint="eastAsia"/>
                <w:b/>
                <w:bCs/>
                <w:color w:val="auto"/>
                <w:sz w:val="24"/>
                <w:szCs w:val="32"/>
              </w:rPr>
              <w:t>-</w:t>
            </w:r>
            <w:r>
              <w:rPr>
                <w:b/>
                <w:bCs/>
                <w:color w:val="auto"/>
                <w:sz w:val="24"/>
                <w:szCs w:val="32"/>
              </w:rPr>
              <w:t>9 建筑施工场界环境噪声排放标准  单位：dB(A)</w:t>
            </w:r>
          </w:p>
          <w:tbl>
            <w:tblPr>
              <w:tblStyle w:val="30"/>
              <w:tblW w:w="7938"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067"/>
              <w:gridCol w:w="3871"/>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jc w:val="center"/>
              </w:trPr>
              <w:tc>
                <w:tcPr>
                  <w:tcW w:w="4067" w:type="dxa"/>
                  <w:noWrap w:val="0"/>
                  <w:tcMar>
                    <w:top w:w="17" w:type="dxa"/>
                    <w:left w:w="17" w:type="dxa"/>
                    <w:bottom w:w="0" w:type="dxa"/>
                    <w:right w:w="17" w:type="dxa"/>
                  </w:tcMar>
                  <w:vAlign w:val="center"/>
                </w:tcPr>
                <w:p>
                  <w:pPr>
                    <w:jc w:val="center"/>
                    <w:rPr>
                      <w:color w:val="auto"/>
                      <w:szCs w:val="21"/>
                    </w:rPr>
                  </w:pPr>
                  <w:r>
                    <w:rPr>
                      <w:color w:val="auto"/>
                      <w:szCs w:val="21"/>
                    </w:rPr>
                    <w:t>昼间</w:t>
                  </w:r>
                </w:p>
              </w:tc>
              <w:tc>
                <w:tcPr>
                  <w:tcW w:w="3871" w:type="dxa"/>
                  <w:noWrap w:val="0"/>
                  <w:tcMar>
                    <w:top w:w="17" w:type="dxa"/>
                    <w:left w:w="17" w:type="dxa"/>
                    <w:bottom w:w="0" w:type="dxa"/>
                    <w:right w:w="17" w:type="dxa"/>
                  </w:tcMar>
                  <w:vAlign w:val="center"/>
                </w:tcPr>
                <w:p>
                  <w:pPr>
                    <w:jc w:val="center"/>
                    <w:rPr>
                      <w:color w:val="auto"/>
                      <w:szCs w:val="21"/>
                    </w:rPr>
                  </w:pPr>
                  <w:r>
                    <w:rPr>
                      <w:color w:val="auto"/>
                      <w:szCs w:val="21"/>
                    </w:rPr>
                    <w:t>夜间</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jc w:val="center"/>
              </w:trPr>
              <w:tc>
                <w:tcPr>
                  <w:tcW w:w="4067" w:type="dxa"/>
                  <w:noWrap w:val="0"/>
                  <w:tcMar>
                    <w:top w:w="17" w:type="dxa"/>
                    <w:left w:w="17" w:type="dxa"/>
                    <w:bottom w:w="0" w:type="dxa"/>
                    <w:right w:w="17" w:type="dxa"/>
                  </w:tcMar>
                  <w:vAlign w:val="center"/>
                </w:tcPr>
                <w:p>
                  <w:pPr>
                    <w:jc w:val="center"/>
                    <w:rPr>
                      <w:color w:val="auto"/>
                      <w:szCs w:val="21"/>
                    </w:rPr>
                  </w:pPr>
                  <w:r>
                    <w:rPr>
                      <w:color w:val="auto"/>
                      <w:szCs w:val="21"/>
                    </w:rPr>
                    <w:t>70</w:t>
                  </w:r>
                </w:p>
              </w:tc>
              <w:tc>
                <w:tcPr>
                  <w:tcW w:w="3871" w:type="dxa"/>
                  <w:noWrap w:val="0"/>
                  <w:tcMar>
                    <w:top w:w="17" w:type="dxa"/>
                    <w:left w:w="17" w:type="dxa"/>
                    <w:bottom w:w="0" w:type="dxa"/>
                    <w:right w:w="17" w:type="dxa"/>
                  </w:tcMar>
                  <w:vAlign w:val="center"/>
                </w:tcPr>
                <w:p>
                  <w:pPr>
                    <w:jc w:val="center"/>
                    <w:rPr>
                      <w:color w:val="auto"/>
                      <w:szCs w:val="21"/>
                    </w:rPr>
                  </w:pPr>
                  <w:r>
                    <w:rPr>
                      <w:color w:val="auto"/>
                      <w:szCs w:val="21"/>
                    </w:rPr>
                    <w:t>55</w:t>
                  </w:r>
                </w:p>
              </w:tc>
            </w:tr>
          </w:tbl>
          <w:p>
            <w:pPr>
              <w:adjustRightInd w:val="0"/>
              <w:snapToGrid w:val="0"/>
              <w:spacing w:line="360" w:lineRule="auto"/>
              <w:ind w:firstLine="480" w:firstLineChars="200"/>
              <w:rPr>
                <w:rFonts w:hint="default" w:eastAsia="宋体"/>
                <w:color w:val="auto"/>
                <w:sz w:val="24"/>
                <w:lang w:val="en-US" w:eastAsia="zh-CN"/>
              </w:rPr>
            </w:pPr>
            <w:r>
              <w:rPr>
                <w:color w:val="auto"/>
                <w:sz w:val="24"/>
              </w:rPr>
              <w:t>本项目运营期噪声执行《工业企业厂界环境噪声排放标准》</w:t>
            </w:r>
            <w:r>
              <w:rPr>
                <w:rFonts w:hint="eastAsia"/>
                <w:color w:val="auto"/>
                <w:sz w:val="24"/>
                <w:lang w:eastAsia="zh-CN"/>
              </w:rPr>
              <w:t>（</w:t>
            </w:r>
            <w:r>
              <w:rPr>
                <w:color w:val="auto"/>
                <w:sz w:val="24"/>
              </w:rPr>
              <w:t>GB12348-2008</w:t>
            </w:r>
            <w:r>
              <w:rPr>
                <w:rFonts w:hint="eastAsia"/>
                <w:color w:val="auto"/>
                <w:sz w:val="24"/>
                <w:lang w:eastAsia="zh-CN"/>
              </w:rPr>
              <w:t>）</w:t>
            </w:r>
            <w:r>
              <w:rPr>
                <w:color w:val="auto"/>
                <w:sz w:val="24"/>
              </w:rPr>
              <w:t>表1中2类标准。</w:t>
            </w:r>
            <w:r>
              <w:rPr>
                <w:rFonts w:hint="eastAsia"/>
                <w:color w:val="auto"/>
                <w:sz w:val="24"/>
                <w:lang w:val="en-US" w:eastAsia="zh-CN"/>
              </w:rPr>
              <w:t>敏感点满足《声环境质量标准》（GB3096-2008）中2类标准。</w:t>
            </w:r>
          </w:p>
          <w:p>
            <w:pPr>
              <w:jc w:val="center"/>
              <w:rPr>
                <w:rFonts w:hint="default" w:eastAsia="宋体"/>
                <w:b/>
                <w:bCs/>
                <w:color w:val="auto"/>
                <w:sz w:val="24"/>
                <w:szCs w:val="32"/>
                <w:lang w:val="en-US" w:eastAsia="zh-CN"/>
              </w:rPr>
            </w:pPr>
            <w:r>
              <w:rPr>
                <w:b/>
                <w:bCs/>
                <w:color w:val="auto"/>
                <w:sz w:val="24"/>
                <w:szCs w:val="32"/>
              </w:rPr>
              <w:t>表</w:t>
            </w:r>
            <w:r>
              <w:rPr>
                <w:rFonts w:hint="eastAsia"/>
                <w:b/>
                <w:bCs/>
                <w:color w:val="auto"/>
                <w:sz w:val="24"/>
                <w:szCs w:val="32"/>
              </w:rPr>
              <w:t>3-</w:t>
            </w:r>
            <w:r>
              <w:rPr>
                <w:b/>
                <w:bCs/>
                <w:color w:val="auto"/>
                <w:sz w:val="24"/>
                <w:szCs w:val="32"/>
              </w:rPr>
              <w:t xml:space="preserve">10 </w:t>
            </w:r>
            <w:r>
              <w:rPr>
                <w:rFonts w:hint="eastAsia"/>
                <w:b/>
                <w:bCs/>
                <w:color w:val="auto"/>
                <w:sz w:val="24"/>
                <w:szCs w:val="32"/>
                <w:lang w:val="en-US" w:eastAsia="zh-CN"/>
              </w:rPr>
              <w:t>噪声排放标准</w:t>
            </w:r>
          </w:p>
          <w:tbl>
            <w:tblPr>
              <w:tblStyle w:val="30"/>
              <w:tblW w:w="83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1"/>
              <w:gridCol w:w="1239"/>
              <w:gridCol w:w="1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91" w:hRule="atLeast"/>
              </w:trPr>
              <w:tc>
                <w:tcPr>
                  <w:tcW w:w="5961" w:type="dxa"/>
                  <w:noWrap w:val="0"/>
                  <w:vAlign w:val="center"/>
                </w:tcPr>
                <w:p>
                  <w:pPr>
                    <w:spacing w:line="320" w:lineRule="exact"/>
                    <w:jc w:val="center"/>
                    <w:rPr>
                      <w:color w:val="auto"/>
                      <w:spacing w:val="5"/>
                      <w:szCs w:val="21"/>
                    </w:rPr>
                  </w:pPr>
                  <w:r>
                    <w:rPr>
                      <w:color w:val="auto"/>
                      <w:spacing w:val="5"/>
                      <w:szCs w:val="21"/>
                    </w:rPr>
                    <w:t>项目</w:t>
                  </w:r>
                </w:p>
              </w:tc>
              <w:tc>
                <w:tcPr>
                  <w:tcW w:w="1239" w:type="dxa"/>
                  <w:noWrap w:val="0"/>
                  <w:vAlign w:val="center"/>
                </w:tcPr>
                <w:p>
                  <w:pPr>
                    <w:spacing w:line="320" w:lineRule="exact"/>
                    <w:jc w:val="center"/>
                    <w:rPr>
                      <w:color w:val="auto"/>
                      <w:spacing w:val="5"/>
                      <w:szCs w:val="21"/>
                    </w:rPr>
                  </w:pPr>
                  <w:r>
                    <w:rPr>
                      <w:color w:val="auto"/>
                      <w:spacing w:val="5"/>
                      <w:szCs w:val="21"/>
                    </w:rPr>
                    <w:t>昼间</w:t>
                  </w:r>
                </w:p>
              </w:tc>
              <w:tc>
                <w:tcPr>
                  <w:tcW w:w="1190" w:type="dxa"/>
                  <w:noWrap w:val="0"/>
                  <w:vAlign w:val="center"/>
                </w:tcPr>
                <w:p>
                  <w:pPr>
                    <w:spacing w:line="320" w:lineRule="exact"/>
                    <w:jc w:val="center"/>
                    <w:rPr>
                      <w:color w:val="auto"/>
                      <w:spacing w:val="5"/>
                      <w:szCs w:val="21"/>
                    </w:rPr>
                  </w:pPr>
                  <w:r>
                    <w:rPr>
                      <w:color w:val="auto"/>
                      <w:spacing w:val="5"/>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5961" w:type="dxa"/>
                  <w:noWrap w:val="0"/>
                  <w:vAlign w:val="center"/>
                </w:tcPr>
                <w:p>
                  <w:pPr>
                    <w:spacing w:line="320" w:lineRule="exact"/>
                    <w:jc w:val="center"/>
                    <w:rPr>
                      <w:color w:val="auto"/>
                      <w:kern w:val="0"/>
                      <w:szCs w:val="21"/>
                    </w:rPr>
                  </w:pPr>
                  <w:r>
                    <w:rPr>
                      <w:color w:val="auto"/>
                      <w:kern w:val="0"/>
                      <w:szCs w:val="21"/>
                    </w:rPr>
                    <w:t>《工业企业厂界环境噪声排放标准》</w:t>
                  </w:r>
                  <w:r>
                    <w:rPr>
                      <w:rFonts w:hint="eastAsia"/>
                      <w:color w:val="auto"/>
                      <w:kern w:val="0"/>
                      <w:szCs w:val="21"/>
                      <w:lang w:eastAsia="zh-CN"/>
                    </w:rPr>
                    <w:t>（</w:t>
                  </w:r>
                  <w:r>
                    <w:rPr>
                      <w:color w:val="auto"/>
                      <w:kern w:val="0"/>
                      <w:szCs w:val="21"/>
                    </w:rPr>
                    <w:t>GB12348-2008</w:t>
                  </w:r>
                  <w:r>
                    <w:rPr>
                      <w:rFonts w:hint="eastAsia"/>
                      <w:color w:val="auto"/>
                      <w:kern w:val="0"/>
                      <w:szCs w:val="21"/>
                      <w:lang w:eastAsia="zh-CN"/>
                    </w:rPr>
                    <w:t>）</w:t>
                  </w:r>
                  <w:r>
                    <w:rPr>
                      <w:color w:val="auto"/>
                      <w:kern w:val="0"/>
                      <w:szCs w:val="21"/>
                    </w:rPr>
                    <w:t>表1中2类标准</w:t>
                  </w:r>
                </w:p>
              </w:tc>
              <w:tc>
                <w:tcPr>
                  <w:tcW w:w="1239" w:type="dxa"/>
                  <w:noWrap w:val="0"/>
                  <w:vAlign w:val="center"/>
                </w:tcPr>
                <w:p>
                  <w:pPr>
                    <w:spacing w:line="320" w:lineRule="exact"/>
                    <w:jc w:val="center"/>
                    <w:rPr>
                      <w:color w:val="auto"/>
                      <w:spacing w:val="5"/>
                      <w:szCs w:val="21"/>
                    </w:rPr>
                  </w:pPr>
                  <w:r>
                    <w:rPr>
                      <w:rFonts w:hint="eastAsia"/>
                      <w:color w:val="auto"/>
                      <w:spacing w:val="5"/>
                      <w:szCs w:val="21"/>
                    </w:rPr>
                    <w:t>6</w:t>
                  </w:r>
                  <w:r>
                    <w:rPr>
                      <w:color w:val="auto"/>
                      <w:spacing w:val="5"/>
                      <w:szCs w:val="21"/>
                    </w:rPr>
                    <w:t>0dB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c>
                <w:tcPr>
                  <w:tcW w:w="1190" w:type="dxa"/>
                  <w:noWrap w:val="0"/>
                  <w:vAlign w:val="center"/>
                </w:tcPr>
                <w:p>
                  <w:pPr>
                    <w:spacing w:line="320" w:lineRule="exact"/>
                    <w:jc w:val="center"/>
                    <w:rPr>
                      <w:color w:val="auto"/>
                      <w:spacing w:val="5"/>
                      <w:szCs w:val="21"/>
                    </w:rPr>
                  </w:pPr>
                  <w:r>
                    <w:rPr>
                      <w:rFonts w:hint="eastAsia"/>
                      <w:color w:val="auto"/>
                      <w:spacing w:val="5"/>
                      <w:szCs w:val="21"/>
                    </w:rPr>
                    <w:t>5</w:t>
                  </w:r>
                  <w:r>
                    <w:rPr>
                      <w:color w:val="auto"/>
                      <w:spacing w:val="5"/>
                      <w:szCs w:val="21"/>
                    </w:rPr>
                    <w:t>0dB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5961" w:type="dxa"/>
                  <w:noWrap w:val="0"/>
                  <w:vAlign w:val="center"/>
                </w:tcPr>
                <w:p>
                  <w:pPr>
                    <w:spacing w:line="32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《声环境质量标准》（GB3096-2008）中2类标准</w:t>
                  </w:r>
                </w:p>
              </w:tc>
              <w:tc>
                <w:tcPr>
                  <w:tcW w:w="1239" w:type="dxa"/>
                  <w:noWrap w:val="0"/>
                  <w:vAlign w:val="center"/>
                </w:tcPr>
                <w:p>
                  <w:pPr>
                    <w:spacing w:line="320" w:lineRule="exact"/>
                    <w:jc w:val="center"/>
                    <w:rPr>
                      <w:rFonts w:hint="default" w:eastAsia="宋体"/>
                      <w:color w:val="auto"/>
                      <w:spacing w:val="5"/>
                      <w:szCs w:val="21"/>
                      <w:lang w:val="en-US" w:eastAsia="zh-CN"/>
                    </w:rPr>
                  </w:pPr>
                  <w:r>
                    <w:rPr>
                      <w:rFonts w:hint="eastAsia"/>
                      <w:color w:val="auto"/>
                      <w:spacing w:val="5"/>
                      <w:szCs w:val="21"/>
                    </w:rPr>
                    <w:t>6</w:t>
                  </w:r>
                  <w:r>
                    <w:rPr>
                      <w:color w:val="auto"/>
                      <w:spacing w:val="5"/>
                      <w:szCs w:val="21"/>
                    </w:rPr>
                    <w:t>0dB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c>
                <w:tcPr>
                  <w:tcW w:w="1190" w:type="dxa"/>
                  <w:noWrap w:val="0"/>
                  <w:vAlign w:val="center"/>
                </w:tcPr>
                <w:p>
                  <w:pPr>
                    <w:spacing w:line="320" w:lineRule="exact"/>
                    <w:jc w:val="center"/>
                    <w:rPr>
                      <w:rFonts w:hint="eastAsia"/>
                      <w:color w:val="auto"/>
                      <w:spacing w:val="5"/>
                      <w:szCs w:val="21"/>
                    </w:rPr>
                  </w:pPr>
                  <w:r>
                    <w:rPr>
                      <w:rFonts w:hint="eastAsia"/>
                      <w:color w:val="auto"/>
                      <w:spacing w:val="5"/>
                      <w:szCs w:val="21"/>
                    </w:rPr>
                    <w:t>5</w:t>
                  </w:r>
                  <w:r>
                    <w:rPr>
                      <w:color w:val="auto"/>
                      <w:spacing w:val="5"/>
                      <w:szCs w:val="21"/>
                    </w:rPr>
                    <w:t>0dB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r>
          </w:tbl>
          <w:p>
            <w:pPr>
              <w:numPr>
                <w:ilvl w:val="0"/>
                <w:numId w:val="0"/>
              </w:numPr>
              <w:adjustRightInd w:val="0"/>
              <w:snapToGrid w:val="0"/>
              <w:spacing w:line="360" w:lineRule="auto"/>
              <w:ind w:left="0" w:leftChars="0" w:firstLine="482" w:firstLineChars="200"/>
              <w:rPr>
                <w:b/>
                <w:bCs/>
                <w:color w:val="auto"/>
                <w:sz w:val="24"/>
              </w:rPr>
            </w:pPr>
            <w:r>
              <w:rPr>
                <w:rFonts w:hint="eastAsia"/>
                <w:b/>
                <w:bCs/>
                <w:color w:val="auto"/>
                <w:kern w:val="2"/>
                <w:sz w:val="24"/>
                <w:szCs w:val="24"/>
                <w:lang w:val="en-US" w:eastAsia="zh-CN" w:bidi="ar-SA"/>
              </w:rPr>
              <w:t>3</w:t>
            </w:r>
            <w:r>
              <w:rPr>
                <w:b/>
                <w:bCs/>
                <w:color w:val="auto"/>
                <w:kern w:val="2"/>
                <w:sz w:val="24"/>
                <w:szCs w:val="24"/>
                <w:lang w:val="en-US" w:eastAsia="zh-CN" w:bidi="ar-SA"/>
              </w:rPr>
              <w:t>、</w:t>
            </w:r>
            <w:r>
              <w:rPr>
                <w:rFonts w:hint="eastAsia"/>
                <w:b/>
                <w:bCs/>
                <w:color w:val="auto"/>
                <w:sz w:val="24"/>
                <w:lang w:val="en-US" w:eastAsia="zh-CN"/>
              </w:rPr>
              <w:t>废水</w:t>
            </w:r>
            <w:r>
              <w:rPr>
                <w:b/>
                <w:bCs/>
                <w:color w:val="auto"/>
                <w:sz w:val="24"/>
              </w:rPr>
              <w:t>排放标准</w:t>
            </w:r>
          </w:p>
          <w:p>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szCs w:val="32"/>
                <w:lang w:val="en-US" w:eastAsia="zh-CN"/>
              </w:rPr>
            </w:pPr>
            <w:r>
              <w:rPr>
                <w:rFonts w:hint="eastAsia"/>
                <w:color w:val="auto"/>
                <w:sz w:val="24"/>
                <w:szCs w:val="32"/>
                <w:lang w:val="en-US" w:eastAsia="zh-CN"/>
              </w:rPr>
              <w:t>本项目废水不外排。</w:t>
            </w:r>
          </w:p>
          <w:p>
            <w:pPr>
              <w:numPr>
                <w:ilvl w:val="0"/>
                <w:numId w:val="0"/>
              </w:numPr>
              <w:adjustRightInd w:val="0"/>
              <w:snapToGrid w:val="0"/>
              <w:spacing w:line="360" w:lineRule="auto"/>
              <w:ind w:firstLine="482" w:firstLineChars="200"/>
              <w:rPr>
                <w:b/>
                <w:bCs/>
                <w:color w:val="auto"/>
                <w:sz w:val="24"/>
              </w:rPr>
            </w:pPr>
            <w:r>
              <w:rPr>
                <w:rFonts w:hint="eastAsia"/>
                <w:b/>
                <w:bCs/>
                <w:color w:val="auto"/>
                <w:kern w:val="2"/>
                <w:sz w:val="24"/>
                <w:szCs w:val="24"/>
                <w:lang w:val="en-US" w:eastAsia="zh-CN" w:bidi="ar-SA"/>
              </w:rPr>
              <w:t>4</w:t>
            </w:r>
            <w:r>
              <w:rPr>
                <w:b/>
                <w:bCs/>
                <w:color w:val="auto"/>
                <w:kern w:val="2"/>
                <w:sz w:val="24"/>
                <w:szCs w:val="24"/>
                <w:lang w:val="en-US" w:eastAsia="zh-CN" w:bidi="ar-SA"/>
              </w:rPr>
              <w:t>、</w:t>
            </w:r>
            <w:r>
              <w:rPr>
                <w:b/>
                <w:bCs/>
                <w:color w:val="auto"/>
                <w:sz w:val="24"/>
              </w:rPr>
              <w:t>固体废物排放标准</w:t>
            </w:r>
          </w:p>
          <w:p>
            <w:pPr>
              <w:spacing w:line="360" w:lineRule="auto"/>
              <w:ind w:firstLine="480" w:firstLineChars="200"/>
              <w:rPr>
                <w:color w:val="auto"/>
                <w:sz w:val="24"/>
              </w:rPr>
            </w:pPr>
            <w:r>
              <w:rPr>
                <w:color w:val="auto"/>
                <w:sz w:val="24"/>
              </w:rPr>
              <w:t>本项目运营期一般固体废物执行《一般工业固体废物贮存和填埋污染控制标准</w:t>
            </w:r>
            <w:r>
              <w:rPr>
                <w:rFonts w:hint="eastAsia"/>
                <w:color w:val="auto"/>
                <w:sz w:val="24"/>
              </w:rPr>
              <w:t>》（</w:t>
            </w:r>
            <w:r>
              <w:rPr>
                <w:color w:val="auto"/>
                <w:sz w:val="24"/>
              </w:rPr>
              <w:t>GB 18599-2020</w:t>
            </w:r>
            <w:r>
              <w:rPr>
                <w:rFonts w:hint="eastAsia"/>
                <w:color w:val="auto"/>
                <w:sz w:val="24"/>
              </w:rPr>
              <w:t>）、《一般固体废物分类与代码》（GB/T39198-2020）。</w:t>
            </w:r>
          </w:p>
          <w:p>
            <w:pPr>
              <w:spacing w:line="360" w:lineRule="auto"/>
              <w:rPr>
                <w:rFonts w:hint="eastAsia"/>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452" w:type="dxa"/>
            <w:noWrap w:val="0"/>
            <w:vAlign w:val="center"/>
          </w:tcPr>
          <w:p>
            <w:pPr>
              <w:adjustRightInd w:val="0"/>
              <w:snapToGrid w:val="0"/>
              <w:jc w:val="center"/>
              <w:rPr>
                <w:color w:val="auto"/>
                <w:kern w:val="0"/>
                <w:sz w:val="24"/>
              </w:rPr>
            </w:pPr>
            <w:r>
              <w:rPr>
                <w:color w:val="auto"/>
                <w:kern w:val="0"/>
                <w:sz w:val="24"/>
              </w:rPr>
              <w:t>总量</w:t>
            </w:r>
          </w:p>
          <w:p>
            <w:pPr>
              <w:adjustRightInd w:val="0"/>
              <w:snapToGrid w:val="0"/>
              <w:jc w:val="center"/>
              <w:rPr>
                <w:color w:val="auto"/>
                <w:kern w:val="0"/>
                <w:sz w:val="24"/>
              </w:rPr>
            </w:pPr>
            <w:r>
              <w:rPr>
                <w:color w:val="auto"/>
                <w:kern w:val="0"/>
                <w:sz w:val="24"/>
              </w:rPr>
              <w:t>控制</w:t>
            </w:r>
          </w:p>
          <w:p>
            <w:pPr>
              <w:adjustRightInd w:val="0"/>
              <w:snapToGrid w:val="0"/>
              <w:jc w:val="center"/>
              <w:rPr>
                <w:color w:val="auto"/>
                <w:kern w:val="0"/>
                <w:szCs w:val="21"/>
              </w:rPr>
            </w:pPr>
            <w:r>
              <w:rPr>
                <w:color w:val="auto"/>
                <w:kern w:val="0"/>
                <w:sz w:val="24"/>
              </w:rPr>
              <w:t>指标</w:t>
            </w:r>
          </w:p>
        </w:tc>
        <w:tc>
          <w:tcPr>
            <w:tcW w:w="8609"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本项目总量控制指标见下表。</w:t>
            </w:r>
            <w:r>
              <w:rPr>
                <w:rFonts w:hint="eastAsia" w:cs="Times New Roman"/>
                <w:color w:val="auto"/>
                <w:sz w:val="24"/>
                <w:szCs w:val="24"/>
                <w:lang w:val="en-US" w:eastAsia="zh-CN"/>
              </w:rPr>
              <w:t>本项目总量指标由伊春市主管部门进行分配。</w:t>
            </w:r>
          </w:p>
          <w:p>
            <w:pPr>
              <w:pStyle w:val="113"/>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eastAsia="宋体" w:cs="Times New Roman"/>
                <w:b/>
                <w:bCs/>
                <w:color w:val="auto"/>
                <w:sz w:val="24"/>
                <w:szCs w:val="24"/>
                <w:lang w:val="en-US" w:eastAsia="zh-CN"/>
              </w:rPr>
              <w:t>11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本项目总量控制指标情况表  单位：t/a</w:t>
            </w:r>
          </w:p>
          <w:tbl>
            <w:tblPr>
              <w:tblStyle w:val="31"/>
              <w:tblW w:w="839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2808"/>
              <w:gridCol w:w="2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0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28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0.777</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0.919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28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1.644 </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28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2.315 </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5.513</w:t>
                  </w:r>
                </w:p>
              </w:tc>
            </w:tr>
          </w:tbl>
          <w:p>
            <w:pPr>
              <w:autoSpaceDE w:val="0"/>
              <w:autoSpaceDN w:val="0"/>
              <w:adjustRightInd w:val="0"/>
              <w:snapToGrid w:val="0"/>
              <w:jc w:val="center"/>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 xml:space="preserve"> </w:t>
            </w:r>
            <w:r>
              <w:rPr>
                <w:rFonts w:hint="default" w:ascii="Times New Roman" w:hAnsi="Times New Roman" w:eastAsia="宋体" w:cs="Times New Roman"/>
                <w:b/>
                <w:bCs/>
                <w:color w:val="auto"/>
                <w:kern w:val="0"/>
                <w:sz w:val="24"/>
                <w:szCs w:val="24"/>
                <w:lang w:val="en-US" w:eastAsia="zh-CN" w:bidi="ar-SA"/>
              </w:rPr>
              <w:t>表3-</w:t>
            </w:r>
            <w:r>
              <w:rPr>
                <w:rFonts w:hint="eastAsia" w:ascii="Times New Roman" w:hAnsi="Times New Roman" w:eastAsia="宋体" w:cs="Times New Roman"/>
                <w:b/>
                <w:bCs/>
                <w:color w:val="auto"/>
                <w:kern w:val="0"/>
                <w:sz w:val="24"/>
                <w:szCs w:val="24"/>
                <w:lang w:val="en-US" w:eastAsia="zh-CN" w:bidi="ar-SA"/>
              </w:rPr>
              <w:t>12</w:t>
            </w:r>
            <w:r>
              <w:rPr>
                <w:rFonts w:hint="default" w:ascii="Times New Roman" w:hAnsi="Times New Roman" w:eastAsia="宋体" w:cs="Times New Roman"/>
                <w:b/>
                <w:bCs/>
                <w:color w:val="auto"/>
                <w:kern w:val="0"/>
                <w:sz w:val="24"/>
                <w:szCs w:val="24"/>
                <w:lang w:val="en-US" w:eastAsia="zh-CN" w:bidi="ar-SA"/>
              </w:rPr>
              <w:t xml:space="preserve">  项目实施前后“</w:t>
            </w:r>
            <w:r>
              <w:rPr>
                <w:rFonts w:hint="eastAsia" w:cs="Times New Roman"/>
                <w:b/>
                <w:bCs/>
                <w:color w:val="auto"/>
                <w:kern w:val="0"/>
                <w:sz w:val="24"/>
                <w:szCs w:val="24"/>
                <w:lang w:val="en-US" w:eastAsia="zh-CN" w:bidi="ar-SA"/>
              </w:rPr>
              <w:t>三本账</w:t>
            </w:r>
            <w:r>
              <w:rPr>
                <w:rFonts w:hint="default" w:ascii="Times New Roman" w:hAnsi="Times New Roman" w:eastAsia="宋体" w:cs="Times New Roman"/>
                <w:b/>
                <w:bCs/>
                <w:color w:val="auto"/>
                <w:kern w:val="0"/>
                <w:sz w:val="24"/>
                <w:szCs w:val="24"/>
                <w:lang w:val="en-US" w:eastAsia="zh-CN" w:bidi="ar-SA"/>
              </w:rPr>
              <w:t>”            单位：t/a</w:t>
            </w:r>
          </w:p>
          <w:tbl>
            <w:tblPr>
              <w:tblStyle w:val="30"/>
              <w:tblW w:w="839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207"/>
              <w:gridCol w:w="1400"/>
              <w:gridCol w:w="1691"/>
              <w:gridCol w:w="1471"/>
              <w:gridCol w:w="1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840"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项目</w:t>
                  </w: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污染物</w:t>
                  </w:r>
                </w:p>
              </w:tc>
              <w:tc>
                <w:tcPr>
                  <w:tcW w:w="1400"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本项目预测排放量</w:t>
                  </w:r>
                </w:p>
              </w:tc>
              <w:tc>
                <w:tcPr>
                  <w:tcW w:w="1691"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以新带老消减量</w:t>
                  </w:r>
                </w:p>
              </w:tc>
              <w:tc>
                <w:tcPr>
                  <w:tcW w:w="1471"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总排放量</w:t>
                  </w:r>
                </w:p>
              </w:tc>
              <w:tc>
                <w:tcPr>
                  <w:tcW w:w="1781"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6" w:hRule="atLeast"/>
                <w:jc w:val="center"/>
              </w:trPr>
              <w:tc>
                <w:tcPr>
                  <w:tcW w:w="840" w:type="dxa"/>
                  <w:vMerge w:val="restart"/>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val="en-US" w:eastAsia="zh-CN"/>
                    </w:rPr>
                    <w:t>颗粒物</w:t>
                  </w:r>
                </w:p>
              </w:tc>
              <w:tc>
                <w:tcPr>
                  <w:tcW w:w="140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0.777</w:t>
                  </w:r>
                </w:p>
              </w:tc>
              <w:tc>
                <w:tcPr>
                  <w:tcW w:w="1691" w:type="dxa"/>
                  <w:noWrap w:val="0"/>
                  <w:vAlign w:val="center"/>
                </w:tcPr>
                <w:p>
                  <w:pPr>
                    <w:widowControl/>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0.</w:t>
                  </w:r>
                  <w:r>
                    <w:rPr>
                      <w:rFonts w:hint="eastAsia" w:cs="Times New Roman"/>
                      <w:bCs/>
                      <w:color w:val="auto"/>
                      <w:szCs w:val="21"/>
                      <w:highlight w:val="none"/>
                      <w:lang w:val="en-US" w:eastAsia="zh-CN"/>
                    </w:rPr>
                    <w:t>235</w:t>
                  </w:r>
                </w:p>
              </w:tc>
              <w:tc>
                <w:tcPr>
                  <w:tcW w:w="14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0.777 </w:t>
                  </w:r>
                </w:p>
              </w:tc>
              <w:tc>
                <w:tcPr>
                  <w:tcW w:w="1781" w:type="dxa"/>
                  <w:noWrap w:val="0"/>
                  <w:vAlign w:val="center"/>
                </w:tcPr>
                <w:p>
                  <w:pPr>
                    <w:pStyle w:val="132"/>
                    <w:adjustRightInd w:val="0"/>
                    <w:snapToGrid w:val="0"/>
                    <w:spacing w:line="240" w:lineRule="auto"/>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ascii="Times New Roman" w:hAnsi="Times New Roman" w:cs="Times New Roman"/>
                      <w:b w:val="0"/>
                      <w:bCs/>
                      <w:snapToGrid w:val="0"/>
                      <w:color w:val="auto"/>
                      <w:kern w:val="0"/>
                      <w:sz w:val="21"/>
                      <w:szCs w:val="21"/>
                      <w:highlight w:val="none"/>
                      <w:lang w:val="en-US" w:eastAsia="zh-CN" w:bidi="ar-SA"/>
                    </w:rPr>
                    <w:t>0.542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1" w:hRule="atLeast"/>
                <w:jc w:val="center"/>
              </w:trPr>
              <w:tc>
                <w:tcPr>
                  <w:tcW w:w="840" w:type="dxa"/>
                  <w:vMerge w:val="continue"/>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SO</w:t>
                  </w:r>
                  <w:r>
                    <w:rPr>
                      <w:rFonts w:hint="default" w:ascii="Times New Roman" w:hAnsi="Times New Roman" w:eastAsia="宋体" w:cs="Times New Roman"/>
                      <w:bCs/>
                      <w:color w:val="auto"/>
                      <w:szCs w:val="21"/>
                      <w:highlight w:val="none"/>
                      <w:vertAlign w:val="subscript"/>
                    </w:rPr>
                    <w:t>2</w:t>
                  </w:r>
                </w:p>
              </w:tc>
              <w:tc>
                <w:tcPr>
                  <w:tcW w:w="140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1.644 </w:t>
                  </w:r>
                </w:p>
              </w:tc>
              <w:tc>
                <w:tcPr>
                  <w:tcW w:w="1691" w:type="dxa"/>
                  <w:noWrap w:val="0"/>
                  <w:vAlign w:val="center"/>
                </w:tcPr>
                <w:p>
                  <w:pPr>
                    <w:widowControl/>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1.414</w:t>
                  </w:r>
                </w:p>
              </w:tc>
              <w:tc>
                <w:tcPr>
                  <w:tcW w:w="14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1.644 </w:t>
                  </w:r>
                </w:p>
              </w:tc>
              <w:tc>
                <w:tcPr>
                  <w:tcW w:w="1781" w:type="dxa"/>
                  <w:noWrap w:val="0"/>
                  <w:vAlign w:val="center"/>
                </w:tcPr>
                <w:p>
                  <w:pPr>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cs="Times New Roman"/>
                      <w:b w:val="0"/>
                      <w:bCs/>
                      <w:snapToGrid w:val="0"/>
                      <w:color w:val="auto"/>
                      <w:kern w:val="0"/>
                      <w:sz w:val="21"/>
                      <w:szCs w:val="21"/>
                      <w:highlight w:val="none"/>
                      <w:lang w:val="en-US" w:eastAsia="zh-CN" w:bidi="ar-SA"/>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7" w:hRule="atLeast"/>
                <w:jc w:val="center"/>
              </w:trPr>
              <w:tc>
                <w:tcPr>
                  <w:tcW w:w="840" w:type="dxa"/>
                  <w:vMerge w:val="continue"/>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NO</w:t>
                  </w:r>
                  <w:r>
                    <w:rPr>
                      <w:rFonts w:hint="default" w:ascii="Times New Roman" w:hAnsi="Times New Roman" w:eastAsia="宋体" w:cs="Times New Roman"/>
                      <w:bCs/>
                      <w:color w:val="auto"/>
                      <w:szCs w:val="21"/>
                      <w:highlight w:val="none"/>
                      <w:vertAlign w:val="subscript"/>
                    </w:rPr>
                    <w:t>X</w:t>
                  </w:r>
                </w:p>
              </w:tc>
              <w:tc>
                <w:tcPr>
                  <w:tcW w:w="140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2.315 </w:t>
                  </w:r>
                </w:p>
              </w:tc>
              <w:tc>
                <w:tcPr>
                  <w:tcW w:w="1691" w:type="dxa"/>
                  <w:noWrap w:val="0"/>
                  <w:vAlign w:val="center"/>
                </w:tcPr>
                <w:p>
                  <w:pPr>
                    <w:widowControl/>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0.972</w:t>
                  </w:r>
                </w:p>
              </w:tc>
              <w:tc>
                <w:tcPr>
                  <w:tcW w:w="14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2.315 </w:t>
                  </w:r>
                </w:p>
              </w:tc>
              <w:tc>
                <w:tcPr>
                  <w:tcW w:w="1781" w:type="dxa"/>
                  <w:noWrap w:val="0"/>
                  <w:vAlign w:val="center"/>
                </w:tcPr>
                <w:p>
                  <w:pPr>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cs="Times New Roman"/>
                      <w:b w:val="0"/>
                      <w:bCs/>
                      <w:snapToGrid w:val="0"/>
                      <w:color w:val="auto"/>
                      <w:kern w:val="0"/>
                      <w:sz w:val="21"/>
                      <w:szCs w:val="21"/>
                      <w:highlight w:val="none"/>
                      <w:lang w:val="en-US" w:eastAsia="zh-CN" w:bidi="ar-SA"/>
                    </w:rPr>
                    <w:t>1.343</w:t>
                  </w:r>
                </w:p>
              </w:tc>
            </w:tr>
          </w:tbl>
          <w:p>
            <w:pPr>
              <w:spacing w:line="360" w:lineRule="auto"/>
              <w:rPr>
                <w:rFonts w:hint="eastAsia"/>
                <w:color w:val="auto"/>
                <w:sz w:val="24"/>
              </w:rPr>
            </w:pPr>
          </w:p>
        </w:tc>
      </w:tr>
    </w:tbl>
    <w:p>
      <w:pPr>
        <w:pStyle w:val="27"/>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28" w:name="_Toc21345"/>
      <w:r>
        <w:rPr>
          <w:rFonts w:ascii="Times New Roman" w:hAnsi="Times New Roman" w:eastAsia="黑体"/>
          <w:snapToGrid w:val="0"/>
          <w:color w:val="auto"/>
          <w:sz w:val="30"/>
          <w:szCs w:val="30"/>
        </w:rPr>
        <w:t>四、主要环境影响和保护措施</w:t>
      </w:r>
      <w:bookmarkEnd w:id="28"/>
    </w:p>
    <w:tbl>
      <w:tblPr>
        <w:tblStyle w:val="30"/>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7"/>
        <w:gridCol w:w="86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65" w:hRule="atLeast"/>
          <w:jc w:val="center"/>
        </w:trPr>
        <w:tc>
          <w:tcPr>
            <w:tcW w:w="307" w:type="dxa"/>
            <w:noWrap w:val="0"/>
            <w:tcMar>
              <w:left w:w="28" w:type="dxa"/>
              <w:right w:w="28" w:type="dxa"/>
            </w:tcMar>
            <w:vAlign w:val="center"/>
          </w:tcPr>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pPr>
              <w:pStyle w:val="27"/>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674" w:type="dxa"/>
            <w:noWrap w:val="0"/>
            <w:vAlign w:val="center"/>
          </w:tcPr>
          <w:p>
            <w:pPr>
              <w:spacing w:line="360" w:lineRule="auto"/>
              <w:ind w:firstLine="480"/>
              <w:rPr>
                <w:rFonts w:hint="default" w:eastAsia="宋体"/>
                <w:color w:val="auto"/>
                <w:sz w:val="24"/>
                <w:lang w:val="en-US" w:eastAsia="zh-CN"/>
              </w:rPr>
            </w:pPr>
            <w:r>
              <w:rPr>
                <w:rFonts w:hint="eastAsia"/>
                <w:color w:val="auto"/>
                <w:sz w:val="24"/>
                <w:lang w:val="en-US" w:eastAsia="zh-CN"/>
              </w:rPr>
              <w:t>本项目施工期利用现有房屋，主要为室内设备安装，装修，对大气、噪声环境影响较小，施工期废水主要为施工人员生活污水，依托现有防渗化粪池，生活污水排入防渗化粪池，定期清掏，外运堆肥。施工期固体废物主要为拆除的锅炉及配套设施，因该锅炉为淘汰类设备，严禁再次销售再次使用，交由从事再生资源回收经营活动的企业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307" w:type="dxa"/>
            <w:noWrap w:val="0"/>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Cs w:val="21"/>
              </w:rPr>
            </w:pPr>
            <w:r>
              <w:rPr>
                <w:bCs/>
                <w:color w:val="auto"/>
                <w:sz w:val="24"/>
              </w:rPr>
              <w:t>措施</w:t>
            </w:r>
          </w:p>
        </w:tc>
        <w:tc>
          <w:tcPr>
            <w:tcW w:w="8674" w:type="dxa"/>
            <w:noWrap w:val="0"/>
            <w:vAlign w:val="center"/>
          </w:tcPr>
          <w:p>
            <w:pPr>
              <w:snapToGrid w:val="0"/>
              <w:spacing w:line="360" w:lineRule="auto"/>
              <w:ind w:firstLine="482" w:firstLineChars="200"/>
              <w:rPr>
                <w:b/>
                <w:bCs/>
                <w:color w:val="auto"/>
                <w:sz w:val="24"/>
              </w:rPr>
            </w:pPr>
            <w:r>
              <w:rPr>
                <w:b/>
                <w:bCs/>
                <w:color w:val="auto"/>
                <w:sz w:val="24"/>
              </w:rPr>
              <w:t>1、废气</w:t>
            </w:r>
          </w:p>
          <w:p>
            <w:pPr>
              <w:pStyle w:val="120"/>
              <w:adjustRightInd w:val="0"/>
              <w:spacing w:line="336" w:lineRule="auto"/>
              <w:ind w:firstLine="480"/>
              <w:rPr>
                <w:rFonts w:hint="eastAsia"/>
                <w:color w:val="auto"/>
                <w:sz w:val="24"/>
              </w:rPr>
            </w:pPr>
            <w:r>
              <w:rPr>
                <w:rFonts w:hint="eastAsia"/>
                <w:color w:val="auto"/>
                <w:sz w:val="24"/>
              </w:rPr>
              <w:t>本项目锅炉除渣过程在锅炉房内完成，并配合洒水降尘措施，锅炉灰渣暂存在锅炉房内的灰渣区，锅炉灰渣粉尘</w:t>
            </w:r>
            <w:r>
              <w:rPr>
                <w:rFonts w:hint="eastAsia"/>
                <w:color w:val="auto"/>
                <w:sz w:val="24"/>
                <w:lang w:val="en-US" w:eastAsia="zh-CN"/>
              </w:rPr>
              <w:t>对外环境</w:t>
            </w:r>
            <w:r>
              <w:rPr>
                <w:rFonts w:hint="eastAsia"/>
                <w:color w:val="auto"/>
                <w:sz w:val="24"/>
              </w:rPr>
              <w:t>影响</w:t>
            </w:r>
            <w:r>
              <w:rPr>
                <w:rFonts w:hint="eastAsia"/>
                <w:color w:val="auto"/>
                <w:sz w:val="24"/>
                <w:lang w:val="en-US" w:eastAsia="zh-CN"/>
              </w:rPr>
              <w:t>较小</w:t>
            </w:r>
            <w:r>
              <w:rPr>
                <w:rFonts w:hint="eastAsia"/>
                <w:color w:val="auto"/>
                <w:sz w:val="24"/>
                <w:lang w:eastAsia="zh-CN"/>
              </w:rPr>
              <w:t>，</w:t>
            </w:r>
            <w:r>
              <w:rPr>
                <w:rFonts w:hint="eastAsia"/>
                <w:color w:val="auto"/>
                <w:sz w:val="24"/>
                <w:lang w:val="en-US" w:eastAsia="zh-CN"/>
              </w:rPr>
              <w:t>生物质燃料几乎不产生粉尘，本项目通过原料库半封闭结构，厂界无组织颗粒物满足</w:t>
            </w:r>
            <w:r>
              <w:rPr>
                <w:bCs/>
                <w:color w:val="auto"/>
                <w:kern w:val="0"/>
                <w:sz w:val="24"/>
              </w:rPr>
              <w:t>《大气污染物综合排放标准》（GB16297-1996）</w:t>
            </w:r>
            <w:r>
              <w:rPr>
                <w:rFonts w:hint="eastAsia"/>
                <w:bCs/>
                <w:color w:val="auto"/>
                <w:kern w:val="0"/>
                <w:sz w:val="24"/>
                <w:lang w:val="en-US" w:eastAsia="zh-CN"/>
              </w:rPr>
              <w:t>要求</w:t>
            </w:r>
            <w:r>
              <w:rPr>
                <w:rFonts w:hint="eastAsia"/>
                <w:color w:val="auto"/>
                <w:sz w:val="24"/>
              </w:rPr>
              <w:t>。</w:t>
            </w:r>
          </w:p>
          <w:p>
            <w:pPr>
              <w:pStyle w:val="120"/>
              <w:adjustRightInd w:val="0"/>
              <w:spacing w:line="336" w:lineRule="auto"/>
              <w:ind w:firstLine="480"/>
              <w:rPr>
                <w:color w:val="auto"/>
                <w:sz w:val="24"/>
              </w:rPr>
            </w:pPr>
            <w:r>
              <w:rPr>
                <w:color w:val="auto"/>
                <w:sz w:val="24"/>
              </w:rPr>
              <w:t>本项目运营期产生的废气主要为燃生物质锅炉产生的锅炉烟气</w:t>
            </w:r>
            <w:r>
              <w:rPr>
                <w:rFonts w:hint="eastAsia"/>
                <w:color w:val="auto"/>
                <w:sz w:val="24"/>
              </w:rPr>
              <w:t>。</w:t>
            </w:r>
          </w:p>
          <w:p>
            <w:pPr>
              <w:spacing w:line="360" w:lineRule="auto"/>
              <w:ind w:firstLine="480" w:firstLineChars="200"/>
              <w:rPr>
                <w:color w:val="auto"/>
                <w:sz w:val="24"/>
                <w:szCs w:val="32"/>
              </w:rPr>
            </w:pPr>
            <w:r>
              <w:rPr>
                <w:color w:val="auto"/>
                <w:sz w:val="24"/>
                <w:szCs w:val="32"/>
              </w:rPr>
              <w:t>1、</w:t>
            </w:r>
            <w:r>
              <w:rPr>
                <w:rFonts w:hint="eastAsia"/>
                <w:color w:val="auto"/>
                <w:sz w:val="24"/>
                <w:szCs w:val="32"/>
              </w:rPr>
              <w:t>源强核算</w:t>
            </w:r>
          </w:p>
          <w:p>
            <w:pPr>
              <w:spacing w:line="360" w:lineRule="auto"/>
              <w:ind w:firstLine="480" w:firstLineChars="200"/>
              <w:rPr>
                <w:color w:val="auto"/>
                <w:sz w:val="24"/>
                <w:szCs w:val="32"/>
              </w:rPr>
            </w:pPr>
            <w:r>
              <w:rPr>
                <w:rFonts w:hint="eastAsia"/>
                <w:color w:val="auto"/>
                <w:sz w:val="24"/>
                <w:szCs w:val="32"/>
              </w:rPr>
              <w:t>（1）正常工况</w:t>
            </w:r>
          </w:p>
          <w:p>
            <w:pPr>
              <w:spacing w:line="360" w:lineRule="auto"/>
              <w:ind w:firstLine="480" w:firstLineChars="200"/>
              <w:rPr>
                <w:color w:val="auto"/>
                <w:sz w:val="24"/>
                <w:szCs w:val="32"/>
              </w:rPr>
            </w:pPr>
            <w:r>
              <w:rPr>
                <w:rFonts w:hint="eastAsia"/>
                <w:color w:val="auto"/>
                <w:sz w:val="24"/>
                <w:szCs w:val="32"/>
              </w:rPr>
              <w:t>①锅炉烟气</w:t>
            </w:r>
          </w:p>
          <w:p>
            <w:pPr>
              <w:spacing w:line="360" w:lineRule="auto"/>
              <w:ind w:firstLine="480" w:firstLineChars="200"/>
              <w:rPr>
                <w:color w:val="auto"/>
                <w:sz w:val="24"/>
                <w:szCs w:val="32"/>
              </w:rPr>
            </w:pPr>
            <w:bookmarkStart w:id="29" w:name="_Hlk65495833"/>
            <w:r>
              <w:rPr>
                <w:color w:val="auto"/>
                <w:sz w:val="24"/>
                <w:szCs w:val="32"/>
              </w:rPr>
              <w:t>锅炉</w:t>
            </w:r>
            <w:r>
              <w:rPr>
                <w:rFonts w:hint="eastAsia"/>
                <w:color w:val="auto"/>
                <w:sz w:val="24"/>
                <w:szCs w:val="32"/>
              </w:rPr>
              <w:t>烟气量、氮氧化物源强、二氧化硫源强</w:t>
            </w:r>
            <w:r>
              <w:rPr>
                <w:color w:val="auto"/>
                <w:sz w:val="24"/>
                <w:szCs w:val="32"/>
              </w:rPr>
              <w:t>根据《污染源源强核算技术指南 锅炉》（HJ</w:t>
            </w:r>
            <w:r>
              <w:rPr>
                <w:rFonts w:hint="eastAsia"/>
                <w:color w:val="auto"/>
                <w:sz w:val="24"/>
                <w:szCs w:val="32"/>
                <w:lang w:val="en-US" w:eastAsia="zh-CN"/>
              </w:rPr>
              <w:t>991</w:t>
            </w:r>
            <w:r>
              <w:rPr>
                <w:color w:val="auto"/>
                <w:sz w:val="24"/>
                <w:szCs w:val="32"/>
              </w:rPr>
              <w:t>-2018）</w:t>
            </w:r>
            <w:r>
              <w:rPr>
                <w:rFonts w:hint="eastAsia"/>
                <w:color w:val="auto"/>
                <w:sz w:val="24"/>
                <w:szCs w:val="32"/>
              </w:rPr>
              <w:t>物料衡算法计算源强</w:t>
            </w:r>
            <w:bookmarkEnd w:id="29"/>
            <w:r>
              <w:rPr>
                <w:rFonts w:hint="eastAsia"/>
                <w:color w:val="auto"/>
                <w:sz w:val="24"/>
                <w:szCs w:val="32"/>
              </w:rPr>
              <w:t>。</w:t>
            </w:r>
            <w:r>
              <w:rPr>
                <w:color w:val="auto"/>
                <w:sz w:val="24"/>
                <w:szCs w:val="32"/>
              </w:rPr>
              <w:t xml:space="preserve"> </w:t>
            </w:r>
          </w:p>
          <w:p>
            <w:pPr>
              <w:spacing w:line="360" w:lineRule="auto"/>
              <w:ind w:firstLine="480" w:firstLineChars="200"/>
              <w:rPr>
                <w:color w:val="auto"/>
                <w:sz w:val="24"/>
                <w:szCs w:val="32"/>
              </w:rPr>
            </w:pPr>
            <w:bookmarkStart w:id="30" w:name="_Hlk65495894"/>
            <w:r>
              <w:rPr>
                <w:rFonts w:hint="eastAsia"/>
                <w:color w:val="auto"/>
                <w:sz w:val="24"/>
                <w:szCs w:val="32"/>
              </w:rPr>
              <w:t>根据</w:t>
            </w:r>
            <w:r>
              <w:rPr>
                <w:color w:val="auto"/>
                <w:sz w:val="24"/>
                <w:szCs w:val="32"/>
              </w:rPr>
              <w:t>《排放源统计调查产排污核算方法和系数手册》（2021年6月11日实施）中</w:t>
            </w:r>
            <w:r>
              <w:rPr>
                <w:rFonts w:hint="eastAsia"/>
                <w:color w:val="auto"/>
                <w:sz w:val="24"/>
                <w:szCs w:val="32"/>
              </w:rPr>
              <w:t>“</w:t>
            </w:r>
            <w:r>
              <w:rPr>
                <w:color w:val="auto"/>
                <w:sz w:val="24"/>
                <w:szCs w:val="32"/>
              </w:rPr>
              <w:t>4430工业锅炉（热力供应）行业系数手册</w:t>
            </w:r>
            <w:r>
              <w:rPr>
                <w:rFonts w:hint="eastAsia"/>
                <w:color w:val="auto"/>
                <w:sz w:val="24"/>
                <w:szCs w:val="32"/>
              </w:rPr>
              <w:t>”</w:t>
            </w:r>
            <w:r>
              <w:rPr>
                <w:color w:val="auto"/>
                <w:sz w:val="24"/>
                <w:szCs w:val="32"/>
              </w:rPr>
              <w:t>中</w:t>
            </w:r>
            <w:r>
              <w:rPr>
                <w:rFonts w:hint="eastAsia"/>
                <w:color w:val="auto"/>
                <w:sz w:val="24"/>
                <w:szCs w:val="32"/>
              </w:rPr>
              <w:t>产污系数表</w:t>
            </w:r>
            <w:r>
              <w:rPr>
                <w:color w:val="auto"/>
                <w:sz w:val="24"/>
                <w:szCs w:val="32"/>
              </w:rPr>
              <w:t>-</w:t>
            </w:r>
            <w:r>
              <w:rPr>
                <w:rFonts w:hint="eastAsia"/>
                <w:color w:val="auto"/>
                <w:sz w:val="24"/>
                <w:szCs w:val="32"/>
              </w:rPr>
              <w:t>生物质工业锅炉</w:t>
            </w:r>
            <w:r>
              <w:rPr>
                <w:color w:val="auto"/>
                <w:sz w:val="24"/>
                <w:szCs w:val="32"/>
              </w:rPr>
              <w:t>-</w:t>
            </w:r>
            <w:r>
              <w:rPr>
                <w:rFonts w:hint="eastAsia"/>
                <w:color w:val="auto"/>
                <w:sz w:val="24"/>
                <w:szCs w:val="32"/>
              </w:rPr>
              <w:t>末端治理技术名称</w:t>
            </w:r>
            <w:r>
              <w:rPr>
                <w:color w:val="auto"/>
                <w:sz w:val="24"/>
                <w:szCs w:val="32"/>
              </w:rPr>
              <w:t>-</w:t>
            </w:r>
            <w:r>
              <w:rPr>
                <w:rFonts w:hint="eastAsia"/>
                <w:color w:val="auto"/>
                <w:sz w:val="24"/>
                <w:szCs w:val="32"/>
              </w:rPr>
              <w:t>袋式除尘确定，除尘效率为</w:t>
            </w:r>
            <w:r>
              <w:rPr>
                <w:color w:val="auto"/>
                <w:sz w:val="24"/>
                <w:szCs w:val="32"/>
              </w:rPr>
              <w:t>99.7%</w:t>
            </w:r>
            <w:r>
              <w:rPr>
                <w:rFonts w:hint="eastAsia"/>
                <w:color w:val="auto"/>
                <w:sz w:val="24"/>
                <w:szCs w:val="32"/>
              </w:rPr>
              <w:t>；根据污染源源强核算技术指南中表</w:t>
            </w:r>
            <w:r>
              <w:rPr>
                <w:color w:val="auto"/>
                <w:sz w:val="24"/>
                <w:szCs w:val="32"/>
              </w:rPr>
              <w:t>B.1</w:t>
            </w:r>
            <w:r>
              <w:rPr>
                <w:rFonts w:hint="eastAsia"/>
                <w:color w:val="auto"/>
                <w:sz w:val="24"/>
                <w:szCs w:val="32"/>
              </w:rPr>
              <w:t>确定机械不完全燃烧热损失为</w:t>
            </w:r>
            <w:r>
              <w:rPr>
                <w:rFonts w:hint="eastAsia"/>
                <w:color w:val="auto"/>
                <w:sz w:val="24"/>
                <w:szCs w:val="32"/>
                <w:lang w:val="en-US" w:eastAsia="zh-CN"/>
              </w:rPr>
              <w:t>2</w:t>
            </w:r>
            <w:r>
              <w:rPr>
                <w:color w:val="auto"/>
                <w:sz w:val="24"/>
                <w:szCs w:val="32"/>
              </w:rPr>
              <w:t>%</w:t>
            </w:r>
            <w:r>
              <w:rPr>
                <w:rFonts w:hint="eastAsia"/>
                <w:color w:val="auto"/>
                <w:sz w:val="24"/>
                <w:szCs w:val="32"/>
              </w:rPr>
              <w:t>，根据表B</w:t>
            </w:r>
            <w:r>
              <w:rPr>
                <w:color w:val="auto"/>
                <w:sz w:val="24"/>
                <w:szCs w:val="32"/>
              </w:rPr>
              <w:t>.2</w:t>
            </w:r>
            <w:r>
              <w:rPr>
                <w:rFonts w:hint="eastAsia"/>
                <w:color w:val="auto"/>
                <w:sz w:val="24"/>
                <w:szCs w:val="32"/>
              </w:rPr>
              <w:t>确定飞灰份额为</w:t>
            </w:r>
            <w:r>
              <w:rPr>
                <w:rFonts w:hint="eastAsia"/>
                <w:color w:val="auto"/>
                <w:sz w:val="24"/>
                <w:szCs w:val="32"/>
                <w:lang w:val="en-US" w:eastAsia="zh-CN"/>
              </w:rPr>
              <w:t>45</w:t>
            </w:r>
            <w:r>
              <w:rPr>
                <w:rFonts w:hint="eastAsia"/>
                <w:color w:val="auto"/>
                <w:sz w:val="24"/>
                <w:szCs w:val="32"/>
              </w:rPr>
              <w:t>%。</w:t>
            </w:r>
          </w:p>
          <w:p>
            <w:pPr>
              <w:spacing w:line="360" w:lineRule="auto"/>
              <w:ind w:firstLine="480" w:firstLineChars="200"/>
              <w:rPr>
                <w:color w:val="auto"/>
                <w:sz w:val="24"/>
                <w:szCs w:val="32"/>
              </w:rPr>
            </w:pPr>
            <w:r>
              <w:rPr>
                <w:color w:val="auto"/>
                <w:sz w:val="24"/>
                <w:szCs w:val="32"/>
              </w:rPr>
              <w:t>a）烟气量按下式计算</w:t>
            </w:r>
          </w:p>
          <w:p>
            <w:pPr>
              <w:spacing w:line="360" w:lineRule="auto"/>
              <w:ind w:firstLine="480" w:firstLineChars="200"/>
              <w:rPr>
                <w:color w:val="auto"/>
                <w:sz w:val="24"/>
                <w:szCs w:val="32"/>
              </w:rPr>
            </w:pPr>
            <w:r>
              <w:rPr>
                <w:color w:val="auto"/>
                <w:sz w:val="24"/>
                <w:szCs w:val="32"/>
              </w:rPr>
              <w:t>理论空气量：有元素</w:t>
            </w:r>
            <w:r>
              <w:rPr>
                <w:rFonts w:hint="eastAsia"/>
                <w:color w:val="auto"/>
                <w:sz w:val="24"/>
                <w:szCs w:val="32"/>
              </w:rPr>
              <w:t>成分</w:t>
            </w:r>
            <w:r>
              <w:rPr>
                <w:color w:val="auto"/>
                <w:sz w:val="24"/>
                <w:szCs w:val="32"/>
              </w:rPr>
              <w:t>分析时理论空气量可用公式计算</w:t>
            </w:r>
            <w:r>
              <w:rPr>
                <w:rFonts w:hint="eastAsia"/>
                <w:color w:val="auto"/>
                <w:sz w:val="24"/>
                <w:szCs w:val="32"/>
              </w:rPr>
              <w:t>：</w:t>
            </w:r>
          </w:p>
          <w:p>
            <w:pPr>
              <w:spacing w:line="440" w:lineRule="exact"/>
              <w:ind w:firstLine="420" w:firstLineChars="200"/>
              <w:rPr>
                <w:color w:val="auto"/>
                <w:sz w:val="24"/>
              </w:rPr>
            </w:pPr>
            <w:r>
              <w:rPr>
                <w:color w:val="auto"/>
              </w:rPr>
              <w:drawing>
                <wp:anchor distT="0" distB="0" distL="114300" distR="114300" simplePos="0" relativeHeight="251663360"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3317875" cy="213360"/>
                          </a:xfrm>
                          <a:prstGeom prst="rect">
                            <a:avLst/>
                          </a:prstGeom>
                          <a:noFill/>
                          <a:ln>
                            <a:noFill/>
                          </a:ln>
                        </pic:spPr>
                      </pic:pic>
                    </a:graphicData>
                  </a:graphic>
                </wp:anchor>
              </w:drawing>
            </w:r>
          </w:p>
          <w:p>
            <w:pPr>
              <w:spacing w:line="360" w:lineRule="auto"/>
              <w:ind w:firstLine="480" w:firstLineChars="200"/>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式</w:t>
            </w:r>
            <w:r>
              <w:rPr>
                <w:color w:val="auto"/>
                <w:sz w:val="24"/>
              </w:rPr>
              <w:t>中，V</w:t>
            </w:r>
            <w:r>
              <w:rPr>
                <w:rFonts w:hint="eastAsia"/>
                <w:color w:val="auto"/>
                <w:sz w:val="24"/>
                <w:vertAlign w:val="subscript"/>
              </w:rPr>
              <w:t>0</w:t>
            </w:r>
            <w:r>
              <w:rPr>
                <w:color w:val="auto"/>
                <w:sz w:val="24"/>
              </w:rPr>
              <w:t>——</w:t>
            </w:r>
            <w:r>
              <w:rPr>
                <w:rFonts w:hint="eastAsia"/>
                <w:color w:val="auto"/>
                <w:sz w:val="24"/>
              </w:rPr>
              <w:t>理论空气量</w:t>
            </w:r>
            <w:r>
              <w:rPr>
                <w:color w:val="auto"/>
                <w:sz w:val="24"/>
              </w:rPr>
              <w:t>，m</w:t>
            </w:r>
            <w:r>
              <w:rPr>
                <w:color w:val="auto"/>
                <w:sz w:val="24"/>
                <w:vertAlign w:val="superscript"/>
              </w:rPr>
              <w:t>3</w:t>
            </w:r>
            <w:r>
              <w:rPr>
                <w:color w:val="auto"/>
                <w:sz w:val="24"/>
              </w:rPr>
              <w:t>/</w:t>
            </w:r>
            <w:r>
              <w:rPr>
                <w:rFonts w:hint="eastAsia"/>
                <w:color w:val="auto"/>
                <w:sz w:val="24"/>
              </w:rPr>
              <w:t>kg</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ar——收到基</w:t>
            </w:r>
            <w:r>
              <w:rPr>
                <w:rFonts w:hint="eastAsia"/>
                <w:color w:val="auto"/>
                <w:sz w:val="24"/>
              </w:rPr>
              <w:t>碳</w:t>
            </w:r>
            <w:r>
              <w:rPr>
                <w:color w:val="auto"/>
                <w:sz w:val="24"/>
              </w:rPr>
              <w:t>的质量分数，取</w:t>
            </w:r>
            <w:r>
              <w:rPr>
                <w:rFonts w:hint="eastAsia"/>
                <w:color w:val="auto"/>
                <w:sz w:val="24"/>
              </w:rPr>
              <w:t>38.82</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Sar——收到基硫含量，取</w:t>
            </w:r>
            <w:r>
              <w:rPr>
                <w:rFonts w:hint="eastAsia"/>
                <w:color w:val="auto"/>
                <w:sz w:val="24"/>
              </w:rPr>
              <w:t>0.07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Har——收到基氢含量，取</w:t>
            </w:r>
            <w:r>
              <w:rPr>
                <w:rFonts w:hint="eastAsia"/>
                <w:color w:val="auto"/>
                <w:sz w:val="24"/>
              </w:rPr>
              <w:t>4.38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Qar——收到基氧含量，取</w:t>
            </w:r>
            <w:r>
              <w:rPr>
                <w:rFonts w:hint="eastAsia"/>
                <w:color w:val="auto"/>
                <w:sz w:val="24"/>
              </w:rPr>
              <w:t>33.13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干烟气排放量可用公式计算</w:t>
            </w:r>
            <w:r>
              <w:rPr>
                <w:rFonts w:hint="eastAsia"/>
                <w:color w:val="auto"/>
                <w:sz w:val="24"/>
              </w:rPr>
              <w:t>：</w:t>
            </w:r>
          </w:p>
          <w:p>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w:bookmarkStart w:id="31" w:name="_Toc1088"/>
                <w:bookmarkStart w:id="32" w:name="_Toc22421"/>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=1.866×</m:t>
              </m:r>
              <m:f>
                <m:fPr>
                  <m:ctrlPr>
                    <w:rPr>
                      <w:rFonts w:hint="default" w:ascii="Cambria Math" w:hAnsi="Cambria Math" w:cs="Times New Roman"/>
                      <w:b w:val="0"/>
                      <w:bCs w:val="0"/>
                      <w:i w:val="0"/>
                      <w:color w:val="auto"/>
                      <w:kern w:val="44"/>
                      <w:sz w:val="24"/>
                      <w:szCs w:val="24"/>
                      <w:lang w:val="en-US" w:eastAsia="zh-CN" w:bidi="ar-SA"/>
                    </w:rPr>
                  </m:ctrlPr>
                </m:fPr>
                <m:num>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+0.375</m:t>
                  </m:r>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S</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ctrlPr>
                    <w:rPr>
                      <w:rFonts w:hint="default" w:ascii="Cambria Math" w:hAnsi="Cambria Math" w:cs="Times New Roman"/>
                      <w:b w:val="0"/>
                      <w:bCs w:val="0"/>
                      <w:i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w:bookmarkEnd w:id="31"/>
                  <w:bookmarkEnd w:id="32"/>
                  <m:ctrlPr>
                    <w:rPr>
                      <w:rFonts w:hint="default" w:ascii="Cambria Math" w:hAnsi="Cambria Math" w:cs="Times New Roman"/>
                      <w:b w:val="0"/>
                      <w:bCs w:val="0"/>
                      <w:i w:val="0"/>
                      <w:color w:val="auto"/>
                      <w:kern w:val="44"/>
                      <w:sz w:val="24"/>
                      <w:szCs w:val="24"/>
                      <w:lang w:val="en-US" w:eastAsia="zh-CN" w:bidi="ar-SA"/>
                    </w:rPr>
                  </m:ctrlPr>
                </m:den>
              </m:f>
            </m:oMath>
            <w:r>
              <w:rPr>
                <w:rFonts w:hint="default" w:ascii="Cambria Math" w:hAnsi="Cambria Math" w:cs="Times New Roman"/>
                <w:b w:val="0"/>
                <w:bCs w:val="0"/>
                <w:i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=0.79</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+0.8×</m:t>
              </m:r>
              <m:f>
                <m:fPr>
                  <m:ctrlPr>
                    <w:rPr>
                      <w:rFonts w:hint="default" w:ascii="Cambria Math" w:hAnsi="Cambria Math" w:cs="Times New Roman"/>
                      <w:b w:val="0"/>
                      <w:bCs w:val="0"/>
                      <w:color w:val="auto"/>
                      <w:kern w:val="44"/>
                      <w:sz w:val="24"/>
                      <w:szCs w:val="24"/>
                      <w:lang w:val="en-US" w:eastAsia="zh-CN" w:bidi="ar-SA"/>
                    </w:rPr>
                  </m:ctrlPr>
                </m:fPr>
                <m:num>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color w:val="auto"/>
                      <w:kern w:val="44"/>
                      <w:sz w:val="24"/>
                      <w:szCs w:val="24"/>
                      <w:lang w:val="en-US" w:eastAsia="zh-CN" w:bidi="ar-SA"/>
                    </w:rPr>
                  </m:ctrlPr>
                </m:den>
              </m:f>
            </m:oMath>
            <w:r>
              <w:rPr>
                <w:rFonts w:hint="default" w:ascii="Cambria Math" w:hAnsi="Cambria Math" w:cs="Times New Roman"/>
                <w:b w:val="0"/>
                <w:bCs w:val="0"/>
                <w:color w:val="auto"/>
                <w:kern w:val="44"/>
                <w:sz w:val="24"/>
                <w:szCs w:val="24"/>
                <w:lang w:val="en-US" w:eastAsia="zh-CN" w:bidi="ar-SA"/>
              </w:rPr>
              <w:t xml:space="preserve"> </w:t>
            </w:r>
          </w:p>
          <w:p>
            <w:pPr>
              <w:pStyle w:val="2"/>
              <w:keepLines w:val="0"/>
              <w:pageBreakBefore w:val="0"/>
              <w:widowControl w:val="0"/>
              <w:kinsoku/>
              <w:wordWrap/>
              <w:topLinePunct w:val="0"/>
              <w:autoSpaceDE/>
              <w:autoSpaceDN/>
              <w:bidi w:val="0"/>
              <w:adjustRightInd/>
              <w:spacing w:before="0" w:after="0" w:line="360" w:lineRule="auto"/>
              <w:ind w:left="0" w:firstLine="480" w:firstLineChars="200"/>
              <w:textAlignment w:val="auto"/>
              <w:rPr>
                <w:rFonts w:hint="default" w:ascii="Times New Roman" w:hAnsi="Times New Roman" w:eastAsia="黑体" w:cs="Times New Roman"/>
                <w:b w:val="0"/>
                <w:bCs w:val="0"/>
                <w:color w:val="auto"/>
                <w:sz w:val="24"/>
                <w:szCs w:val="24"/>
                <w:lang w:val="en-US" w:eastAsia="zh-CN"/>
              </w:rPr>
            </w:pPr>
            <m:oMath>
              <m:sSub>
                <w:bookmarkStart w:id="33" w:name="_Toc5899"/>
                <w:bookmarkStart w:id="34" w:name="_Toc28568"/>
                <m:sSubPr>
                  <m:ctrlPr>
                    <w:rPr>
                      <w:rFonts w:hint="default" w:ascii="Cambria Math" w:hAnsi="Cambria Math" w:cs="Times New Roman"/>
                      <w:b w:val="0"/>
                      <w:bCs w:val="0"/>
                      <w:i/>
                      <w:color w:val="auto"/>
                      <w:sz w:val="24"/>
                      <w:szCs w:val="24"/>
                      <w:lang w:val="en-US"/>
                    </w:rPr>
                  </m:ctrlPr>
                </m:sSubPr>
                <m:e>
                  <m:r>
                    <m:rPr>
                      <m:nor/>
                    </m:rPr>
                    <w:rPr>
                      <w:rFonts w:hint="default" w:ascii="Times New Roman" w:hAnsi="Times New Roman" w:cs="Times New Roman"/>
                      <w:b w:val="0"/>
                      <w:bCs w:val="0"/>
                      <w:i/>
                      <w:color w:val="auto"/>
                      <w:sz w:val="24"/>
                      <w:szCs w:val="24"/>
                      <w:lang w:val="en-US" w:eastAsia="zh-CN"/>
                    </w:rPr>
                    <m:t>V</m:t>
                  </m:r>
                  <m:ctrlPr>
                    <w:rPr>
                      <w:rFonts w:hint="default" w:ascii="Cambria Math" w:hAnsi="Cambria Math" w:cs="Times New Roman"/>
                      <w:b w:val="0"/>
                      <w:bCs w:val="0"/>
                      <w:i/>
                      <w:color w:val="auto"/>
                      <w:sz w:val="24"/>
                      <w:szCs w:val="24"/>
                      <w:lang w:val="en-US"/>
                    </w:rPr>
                  </m:ctrlPr>
                </m:e>
                <m:sub>
                  <m:r>
                    <m:rPr>
                      <m:nor/>
                    </m:rPr>
                    <w:rPr>
                      <w:rFonts w:hint="default" w:ascii="Times New Roman" w:hAnsi="Times New Roman" w:cs="Times New Roman"/>
                      <w:b w:val="0"/>
                      <w:bCs w:val="0"/>
                      <w:i/>
                      <w:color w:val="auto"/>
                      <w:sz w:val="24"/>
                      <w:szCs w:val="24"/>
                      <w:lang w:val="en-US" w:eastAsia="zh-CN"/>
                    </w:rPr>
                    <m:t>g</m:t>
                  </m:r>
                  <m:ctrlPr>
                    <w:rPr>
                      <w:rFonts w:hint="default" w:ascii="Cambria Math" w:hAnsi="Cambria Math" w:cs="Times New Roman"/>
                      <w:b w:val="0"/>
                      <w:bCs w:val="0"/>
                      <w:i/>
                      <w:color w:val="auto"/>
                      <w:sz w:val="24"/>
                      <w:szCs w:val="24"/>
                      <w:lang w:val="en-US"/>
                    </w:rPr>
                  </m:ctrlPr>
                </m:sub>
              </m:sSub>
              <m:r>
                <m:rPr>
                  <m:nor/>
                  <m:sty m:val="p"/>
                </m:rPr>
                <w:rPr>
                  <w:rFonts w:hint="default" w:ascii="Times New Roman" w:hAnsi="Times New Roman" w:cs="Times New Roman"/>
                  <w:b w:val="0"/>
                  <w:bCs w:val="0"/>
                  <w:i w:val="0"/>
                  <w:color w:val="auto"/>
                  <w:sz w:val="24"/>
                  <w:szCs w:val="24"/>
                  <w:lang w:val="en-US" w:eastAsia="zh-CN"/>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r>
                <m:rPr>
                  <m:nor/>
                  <m:sty m:val="p"/>
                </m:rPr>
                <w:rPr>
                  <w:rFonts w:hint="default" w:ascii="Times New Roman" w:hAnsi="Times New Roman" w:cs="Times New Roman"/>
                  <w:b w:val="0"/>
                  <w:bCs w:val="0"/>
                  <w:i w:val="0"/>
                  <w:color w:val="auto"/>
                  <w:kern w:val="44"/>
                  <w:sz w:val="24"/>
                  <w:szCs w:val="24"/>
                  <w:lang w:val="en-US" w:bidi="ar-SA"/>
                </w:rPr>
                <m:t>α</m:t>
              </m:r>
              <m:r>
                <m:rPr>
                  <m:nor/>
                  <m:sty m:val="p"/>
                </m:rPr>
                <w:rPr>
                  <w:rFonts w:hint="default" w:ascii="Times New Roman" w:hAnsi="Times New Roman" w:cs="Times New Roman"/>
                  <w:b w:val="0"/>
                  <w:bCs w:val="0"/>
                  <w:i w:val="0"/>
                  <w:color w:val="auto"/>
                  <w:kern w:val="44"/>
                  <w:sz w:val="24"/>
                  <w:szCs w:val="24"/>
                  <w:lang w:val="en-US" w:eastAsia="zh-CN" w:bidi="ar-SA"/>
                </w:rPr>
                <m:t>−1)</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w:bookmarkEnd w:id="33"/>
                  <w:bookmarkEnd w:id="34"/>
                  <m:ctrlPr>
                    <w:rPr>
                      <w:rFonts w:hint="default" w:ascii="Cambria Math" w:hAnsi="Cambria Math" w:cs="Times New Roman"/>
                      <w:b w:val="0"/>
                      <w:bCs w:val="0"/>
                      <w:color w:val="auto"/>
                      <w:kern w:val="44"/>
                      <w:sz w:val="24"/>
                      <w:szCs w:val="24"/>
                      <w:lang w:val="en-US" w:eastAsia="zh-CN" w:bidi="ar-SA"/>
                    </w:rPr>
                  </m:ctrlPr>
                </m:sub>
              </m:sSub>
            </m:oMath>
            <w:r>
              <w:rPr>
                <w:rFonts w:hint="default" w:ascii="Cambria Math" w:hAnsi="Cambria Math" w:cs="Times New Roman"/>
                <w:b w:val="0"/>
                <w:bCs w:val="0"/>
                <w:color w:val="auto"/>
                <w:kern w:val="44"/>
                <w:sz w:val="24"/>
                <w:szCs w:val="24"/>
                <w:lang w:val="en-US" w:eastAsia="zh-CN" w:bidi="ar-SA"/>
              </w:rPr>
              <w:t xml:space="preserve"> </w:t>
            </w:r>
          </w:p>
          <w:p>
            <w:pPr>
              <w:spacing w:line="440" w:lineRule="exact"/>
              <w:ind w:firstLine="480" w:firstLineChars="200"/>
              <w:rPr>
                <w:color w:val="auto"/>
                <w:sz w:val="24"/>
              </w:rPr>
            </w:pPr>
            <w:r>
              <w:rPr>
                <w:rFonts w:hint="eastAsia"/>
                <w:color w:val="auto"/>
                <w:sz w:val="24"/>
              </w:rPr>
              <w:t>式</w:t>
            </w:r>
            <w:r>
              <w:rPr>
                <w:color w:val="auto"/>
                <w:sz w:val="24"/>
              </w:rPr>
              <w:t>中，V</w:t>
            </w:r>
            <w:r>
              <w:rPr>
                <w:color w:val="auto"/>
                <w:sz w:val="24"/>
                <w:vertAlign w:val="subscript"/>
              </w:rPr>
              <w:t>RO2</w:t>
            </w:r>
            <w:r>
              <w:rPr>
                <w:color w:val="auto"/>
                <w:sz w:val="24"/>
              </w:rPr>
              <w:t>——烟气中二氧化碳（V</w:t>
            </w:r>
            <w:r>
              <w:rPr>
                <w:color w:val="auto"/>
                <w:sz w:val="24"/>
                <w:vertAlign w:val="subscript"/>
              </w:rPr>
              <w:t>CO2</w:t>
            </w:r>
            <w:r>
              <w:rPr>
                <w:color w:val="auto"/>
                <w:sz w:val="24"/>
              </w:rPr>
              <w:t>）和二氧化硫（V</w:t>
            </w:r>
            <w:r>
              <w:rPr>
                <w:color w:val="auto"/>
                <w:sz w:val="24"/>
                <w:vertAlign w:val="subscript"/>
              </w:rPr>
              <w:t>SO2</w:t>
            </w:r>
            <w:r>
              <w:rPr>
                <w:color w:val="auto"/>
                <w:sz w:val="24"/>
              </w:rPr>
              <w:t>）容积之和，</w:t>
            </w:r>
            <w:r>
              <w:rPr>
                <w:rFonts w:hint="eastAsia"/>
                <w:color w:val="auto"/>
                <w:sz w:val="24"/>
                <w:lang w:val="en-US" w:eastAsia="zh-CN"/>
              </w:rPr>
              <w:t>经计算为0.72</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Car——收到基碳的质量分数，</w:t>
            </w:r>
            <w:r>
              <w:rPr>
                <w:rFonts w:hint="eastAsia"/>
                <w:color w:val="auto"/>
                <w:sz w:val="24"/>
              </w:rPr>
              <w:t>取38.82</w:t>
            </w:r>
            <w:r>
              <w:rPr>
                <w:color w:val="auto"/>
                <w:sz w:val="24"/>
              </w:rPr>
              <w:t>%；</w:t>
            </w:r>
          </w:p>
          <w:p>
            <w:pPr>
              <w:spacing w:line="440" w:lineRule="exact"/>
              <w:ind w:firstLine="480" w:firstLineChars="200"/>
              <w:rPr>
                <w:color w:val="auto"/>
                <w:sz w:val="24"/>
              </w:rPr>
            </w:pPr>
            <w:r>
              <w:rPr>
                <w:color w:val="auto"/>
                <w:sz w:val="24"/>
              </w:rPr>
              <w:t>Sar——收到基硫的质量分数</w:t>
            </w:r>
            <w:r>
              <w:rPr>
                <w:rFonts w:hint="eastAsia"/>
                <w:color w:val="auto"/>
                <w:sz w:val="24"/>
              </w:rPr>
              <w:t>，</w:t>
            </w:r>
            <w:r>
              <w:rPr>
                <w:color w:val="auto"/>
                <w:sz w:val="24"/>
              </w:rPr>
              <w:t>取</w:t>
            </w:r>
            <w:r>
              <w:rPr>
                <w:rFonts w:hint="eastAsia"/>
                <w:color w:val="auto"/>
                <w:sz w:val="24"/>
              </w:rPr>
              <w:t>0.07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N2</w:t>
            </w:r>
            <w:r>
              <w:rPr>
                <w:color w:val="auto"/>
                <w:sz w:val="24"/>
              </w:rPr>
              <w:t>——烟气中氮气量，m</w:t>
            </w:r>
            <w:r>
              <w:rPr>
                <w:color w:val="auto"/>
                <w:sz w:val="24"/>
                <w:vertAlign w:val="superscript"/>
              </w:rPr>
              <w:t>3</w:t>
            </w:r>
            <w:r>
              <w:rPr>
                <w:color w:val="auto"/>
                <w:sz w:val="24"/>
              </w:rPr>
              <w:t>/kg</w:t>
            </w:r>
            <w:r>
              <w:rPr>
                <w:rFonts w:hint="eastAsia"/>
                <w:color w:val="auto"/>
                <w:sz w:val="24"/>
              </w:rPr>
              <w:t>，经计算为2</w:t>
            </w:r>
            <w:r>
              <w:rPr>
                <w:color w:val="auto"/>
                <w:sz w:val="24"/>
              </w:rPr>
              <w:t>.7</w:t>
            </w:r>
            <w:r>
              <w:rPr>
                <w:rFonts w:hint="eastAsia"/>
                <w:color w:val="auto"/>
                <w:sz w:val="24"/>
                <w:lang w:val="en-US" w:eastAsia="zh-CN"/>
              </w:rPr>
              <w:t>8</w:t>
            </w:r>
            <w:r>
              <w:rPr>
                <w:color w:val="auto"/>
                <w:sz w:val="24"/>
              </w:rPr>
              <w:t>；</w:t>
            </w:r>
          </w:p>
          <w:p>
            <w:pPr>
              <w:spacing w:line="440" w:lineRule="exact"/>
              <w:ind w:firstLine="480" w:firstLineChars="200"/>
              <w:rPr>
                <w:color w:val="auto"/>
                <w:sz w:val="24"/>
              </w:rPr>
            </w:pPr>
            <w:r>
              <w:rPr>
                <w:color w:val="auto"/>
                <w:sz w:val="24"/>
              </w:rPr>
              <w:t>Nar——收到基氮的质量分数，</w:t>
            </w:r>
            <w:r>
              <w:rPr>
                <w:rFonts w:hint="eastAsia"/>
                <w:color w:val="auto"/>
                <w:sz w:val="24"/>
              </w:rPr>
              <w:t>取0.27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0</w:t>
            </w:r>
            <w:r>
              <w:rPr>
                <w:color w:val="auto"/>
                <w:sz w:val="24"/>
              </w:rPr>
              <w:t>——理论空气量，m</w:t>
            </w:r>
            <w:r>
              <w:rPr>
                <w:color w:val="auto"/>
                <w:sz w:val="24"/>
                <w:vertAlign w:val="superscript"/>
              </w:rPr>
              <w:t>3</w:t>
            </w:r>
            <w:r>
              <w:rPr>
                <w:color w:val="auto"/>
                <w:sz w:val="24"/>
              </w:rPr>
              <w:t>/kg</w:t>
            </w:r>
            <w:r>
              <w:rPr>
                <w:rFonts w:hint="eastAsia"/>
                <w:color w:val="auto"/>
                <w:sz w:val="24"/>
              </w:rPr>
              <w:t>，经计算为3</w:t>
            </w:r>
            <w:r>
              <w:rPr>
                <w:color w:val="auto"/>
                <w:sz w:val="24"/>
              </w:rPr>
              <w:t>.</w:t>
            </w:r>
            <w:r>
              <w:rPr>
                <w:rFonts w:hint="eastAsia"/>
                <w:color w:val="auto"/>
                <w:sz w:val="24"/>
                <w:lang w:val="en-US" w:eastAsia="zh-CN"/>
              </w:rPr>
              <w:t>51</w:t>
            </w:r>
            <w:r>
              <w:rPr>
                <w:color w:val="auto"/>
                <w:sz w:val="24"/>
              </w:rPr>
              <w:t>；</w:t>
            </w:r>
          </w:p>
          <w:p>
            <w:pPr>
              <w:spacing w:line="440" w:lineRule="exact"/>
              <w:ind w:firstLine="480" w:firstLineChars="200"/>
              <w:rPr>
                <w:color w:val="auto"/>
                <w:sz w:val="24"/>
              </w:rPr>
            </w:pPr>
            <w:r>
              <w:rPr>
                <w:color w:val="auto"/>
                <w:sz w:val="24"/>
              </w:rPr>
              <w:t>Vg——干烟气排放量，</w:t>
            </w:r>
            <w:r>
              <w:rPr>
                <w:rFonts w:hint="eastAsia"/>
                <w:color w:val="auto"/>
                <w:sz w:val="24"/>
                <w:lang w:val="en-US" w:eastAsia="zh-CN"/>
              </w:rPr>
              <w:t>经计算为6.133821</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α——过量空气系数，燃料燃烧时实际空气供给量与理论空气需要量之比值，燃煤锅炉、燃油锅炉及燃气锅炉的规定过量空气系数分别为1.75、1.2，对应基准氧含量分别为9%、3.5%；本次评价取</w:t>
            </w:r>
            <w:r>
              <w:rPr>
                <w:rFonts w:hint="eastAsia"/>
                <w:color w:val="auto"/>
                <w:sz w:val="24"/>
              </w:rPr>
              <w:t>1.</w:t>
            </w:r>
            <w:r>
              <w:rPr>
                <w:rFonts w:hint="eastAsia"/>
                <w:color w:val="auto"/>
                <w:sz w:val="24"/>
                <w:lang w:val="en-US" w:eastAsia="zh-CN"/>
              </w:rPr>
              <w:t>75</w:t>
            </w:r>
            <w:r>
              <w:rPr>
                <w:rFonts w:hint="eastAsia"/>
                <w:color w:val="auto"/>
                <w:sz w:val="24"/>
              </w:rPr>
              <w:t>。</w:t>
            </w:r>
          </w:p>
          <w:p>
            <w:pPr>
              <w:spacing w:line="440" w:lineRule="exact"/>
              <w:ind w:firstLine="480" w:firstLineChars="200"/>
              <w:rPr>
                <w:color w:val="auto"/>
                <w:sz w:val="24"/>
              </w:rPr>
            </w:pPr>
            <w:r>
              <w:rPr>
                <w:color w:val="auto"/>
                <w:sz w:val="24"/>
              </w:rPr>
              <w:t>本项目锅炉燃料耗量为</w:t>
            </w:r>
            <w:r>
              <w:rPr>
                <w:rFonts w:hint="eastAsia"/>
                <w:color w:val="auto"/>
                <w:sz w:val="24"/>
                <w:lang w:val="en-US" w:eastAsia="zh-CN"/>
              </w:rPr>
              <w:t>2996t/a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18376928</w:t>
            </w:r>
            <w:r>
              <w:rPr>
                <w:color w:val="auto"/>
                <w:sz w:val="24"/>
              </w:rPr>
              <w:t>Nm</w:t>
            </w:r>
            <w:r>
              <w:rPr>
                <w:color w:val="auto"/>
                <w:sz w:val="24"/>
                <w:vertAlign w:val="superscript"/>
              </w:rPr>
              <w:t>3</w:t>
            </w:r>
            <w:r>
              <w:rPr>
                <w:color w:val="auto"/>
                <w:sz w:val="24"/>
              </w:rPr>
              <w:t>。</w:t>
            </w:r>
          </w:p>
          <w:p>
            <w:pPr>
              <w:spacing w:line="440" w:lineRule="exact"/>
              <w:ind w:firstLine="420" w:firstLineChars="200"/>
              <w:rPr>
                <w:color w:val="auto"/>
                <w:sz w:val="24"/>
              </w:rPr>
            </w:pPr>
            <w:r>
              <w:rPr>
                <w:color w:val="auto"/>
              </w:rPr>
              <w:drawing>
                <wp:anchor distT="0" distB="0" distL="114300" distR="114300" simplePos="0" relativeHeight="251660288" behindDoc="1" locked="0" layoutInCell="1" allowOverlap="1">
                  <wp:simplePos x="0" y="0"/>
                  <wp:positionH relativeFrom="column">
                    <wp:posOffset>368300</wp:posOffset>
                  </wp:positionH>
                  <wp:positionV relativeFrom="paragraph">
                    <wp:posOffset>193040</wp:posOffset>
                  </wp:positionV>
                  <wp:extent cx="2130425" cy="823595"/>
                  <wp:effectExtent l="0" t="0" r="3175" b="14605"/>
                  <wp:wrapNone/>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19"/>
                          <a:srcRect t="-6538" b="-6538"/>
                          <a:stretch>
                            <a:fillRect/>
                          </a:stretch>
                        </pic:blipFill>
                        <pic:spPr>
                          <a:xfrm>
                            <a:off x="0" y="0"/>
                            <a:ext cx="2130425" cy="823595"/>
                          </a:xfrm>
                          <a:prstGeom prst="rect">
                            <a:avLst/>
                          </a:prstGeom>
                          <a:noFill/>
                          <a:ln>
                            <a:noFill/>
                          </a:ln>
                        </pic:spPr>
                      </pic:pic>
                    </a:graphicData>
                  </a:graphic>
                </wp:anchor>
              </w:drawing>
            </w:r>
            <w:r>
              <w:rPr>
                <w:color w:val="auto"/>
                <w:sz w:val="24"/>
              </w:rPr>
              <w:t>b）</w:t>
            </w:r>
            <w:r>
              <w:rPr>
                <w:rFonts w:hint="eastAsia"/>
                <w:color w:val="auto"/>
                <w:sz w:val="24"/>
                <w:lang w:eastAsia="zh-CN"/>
              </w:rPr>
              <w:t>颗粒物</w:t>
            </w:r>
            <w:r>
              <w:rPr>
                <w:color w:val="auto"/>
                <w:sz w:val="24"/>
              </w:rPr>
              <w:t xml:space="preserve">排放量按下式计算  </w:t>
            </w:r>
          </w:p>
          <w:p>
            <w:pPr>
              <w:spacing w:line="440" w:lineRule="exact"/>
              <w:ind w:firstLine="480" w:firstLineChars="200"/>
              <w:rPr>
                <w:color w:val="auto"/>
                <w:sz w:val="24"/>
              </w:rPr>
            </w:pPr>
            <w:r>
              <w:rPr>
                <w:rFonts w:hint="eastAsia"/>
                <w:color w:val="auto"/>
                <w:sz w:val="24"/>
              </w:rPr>
              <w:t xml:space="preserve"> </w:t>
            </w:r>
            <w:r>
              <w:rPr>
                <w:color w:val="auto"/>
                <w:sz w:val="24"/>
              </w:rPr>
              <w:t xml:space="preserve">         </w:t>
            </w:r>
          </w:p>
          <w:p>
            <w:pPr>
              <w:spacing w:line="440" w:lineRule="exact"/>
              <w:ind w:firstLine="480" w:firstLineChars="200"/>
              <w:jc w:val="center"/>
              <w:rPr>
                <w:color w:val="auto"/>
                <w:sz w:val="24"/>
              </w:rPr>
            </w:pPr>
            <w:r>
              <w:rPr>
                <w:rFonts w:hint="eastAsia"/>
                <w:color w:val="auto"/>
                <w:sz w:val="24"/>
              </w:rPr>
              <w:t xml:space="preserve"> </w:t>
            </w:r>
            <w:r>
              <w:rPr>
                <w:color w:val="auto"/>
                <w:sz w:val="24"/>
              </w:rPr>
              <w:t xml:space="preserve"> </w:t>
            </w:r>
          </w:p>
          <w:bookmarkEnd w:id="30"/>
          <w:p>
            <w:pPr>
              <w:spacing w:line="440" w:lineRule="exact"/>
              <w:ind w:firstLine="480" w:firstLineChars="200"/>
              <w:rPr>
                <w:color w:val="auto"/>
                <w:sz w:val="24"/>
              </w:rPr>
            </w:pPr>
            <w:r>
              <w:rPr>
                <w:color w:val="auto"/>
                <w:sz w:val="24"/>
              </w:rPr>
              <w:t>式中：</w:t>
            </w:r>
          </w:p>
          <w:p>
            <w:pPr>
              <w:spacing w:line="440" w:lineRule="exact"/>
              <w:ind w:firstLine="480" w:firstLineChars="200"/>
              <w:rPr>
                <w:color w:val="auto"/>
                <w:sz w:val="24"/>
              </w:rPr>
            </w:pPr>
            <w:bookmarkStart w:id="35" w:name="_Hlk65495966"/>
            <w:r>
              <w:rPr>
                <w:color w:val="auto"/>
                <w:sz w:val="24"/>
              </w:rPr>
              <w:t>E</w:t>
            </w:r>
            <w:r>
              <w:rPr>
                <w:color w:val="auto"/>
                <w:sz w:val="24"/>
                <w:vertAlign w:val="subscript"/>
              </w:rPr>
              <w:t>A</w:t>
            </w:r>
            <w:r>
              <w:rPr>
                <w:color w:val="auto"/>
                <w:sz w:val="24"/>
              </w:rPr>
              <w:t>——核算时段内烟尘（颗粒物）排放量，t；</w:t>
            </w:r>
          </w:p>
          <w:p>
            <w:pPr>
              <w:spacing w:line="440" w:lineRule="exact"/>
              <w:ind w:firstLine="480" w:firstLineChars="200"/>
              <w:rPr>
                <w:color w:val="auto"/>
                <w:sz w:val="24"/>
              </w:rPr>
            </w:pPr>
            <w:r>
              <w:rPr>
                <w:color w:val="auto"/>
                <w:sz w:val="24"/>
              </w:rPr>
              <w:t>R——核算时段内锅炉燃料耗量，</w:t>
            </w:r>
            <w:r>
              <w:rPr>
                <w:rFonts w:hint="eastAsia"/>
                <w:color w:val="auto"/>
                <w:sz w:val="24"/>
              </w:rPr>
              <w:t>生物质燃料</w:t>
            </w:r>
            <w:r>
              <w:rPr>
                <w:color w:val="auto"/>
                <w:sz w:val="24"/>
              </w:rPr>
              <w:t>量</w:t>
            </w:r>
            <w:r>
              <w:rPr>
                <w:rFonts w:hint="eastAsia"/>
                <w:color w:val="auto"/>
                <w:sz w:val="24"/>
              </w:rPr>
              <w:t>为</w:t>
            </w:r>
            <w:r>
              <w:rPr>
                <w:rFonts w:hint="eastAsia"/>
                <w:color w:val="auto"/>
                <w:sz w:val="24"/>
                <w:lang w:val="en-US" w:eastAsia="zh-CN"/>
              </w:rPr>
              <w:t>2996</w:t>
            </w:r>
            <w:r>
              <w:rPr>
                <w:rFonts w:hint="eastAsia"/>
                <w:color w:val="auto"/>
                <w:sz w:val="24"/>
              </w:rPr>
              <w:t>t</w:t>
            </w:r>
            <w:r>
              <w:rPr>
                <w:color w:val="auto"/>
                <w:sz w:val="24"/>
              </w:rPr>
              <w:t>；</w:t>
            </w:r>
          </w:p>
          <w:p>
            <w:pPr>
              <w:spacing w:line="440" w:lineRule="exact"/>
              <w:ind w:firstLine="480" w:firstLineChars="200"/>
              <w:rPr>
                <w:color w:val="auto"/>
                <w:sz w:val="24"/>
              </w:rPr>
            </w:pPr>
            <w:r>
              <w:rPr>
                <w:color w:val="auto"/>
                <w:sz w:val="24"/>
              </w:rPr>
              <w:t>Aar——收到基灰分的质量分数，取</w:t>
            </w:r>
            <w:r>
              <w:rPr>
                <w:rFonts w:hint="eastAsia"/>
                <w:color w:val="auto"/>
                <w:sz w:val="24"/>
              </w:rPr>
              <w:t>16.33</w:t>
            </w:r>
            <w:r>
              <w:rPr>
                <w:color w:val="auto"/>
                <w:sz w:val="24"/>
              </w:rPr>
              <w:t>%；</w:t>
            </w:r>
          </w:p>
          <w:p>
            <w:pPr>
              <w:spacing w:line="440" w:lineRule="exact"/>
              <w:ind w:firstLine="480" w:firstLineChars="200"/>
              <w:rPr>
                <w:color w:val="auto"/>
                <w:sz w:val="24"/>
              </w:rPr>
            </w:pPr>
            <w:r>
              <w:rPr>
                <w:color w:val="auto"/>
                <w:sz w:val="24"/>
              </w:rPr>
              <w:t>dfh——锅炉烟气带出的飞灰份额，取</w:t>
            </w:r>
            <w:r>
              <w:rPr>
                <w:rFonts w:hint="eastAsia"/>
                <w:color w:val="auto"/>
                <w:sz w:val="24"/>
                <w:lang w:val="en-US" w:eastAsia="zh-CN"/>
              </w:rPr>
              <w:t>45</w:t>
            </w:r>
            <w:r>
              <w:rPr>
                <w:color w:val="auto"/>
                <w:sz w:val="24"/>
              </w:rPr>
              <w:t>%；</w:t>
            </w:r>
          </w:p>
          <w:p>
            <w:pPr>
              <w:spacing w:line="440" w:lineRule="exact"/>
              <w:ind w:firstLine="480" w:firstLineChars="200"/>
              <w:rPr>
                <w:color w:val="auto"/>
                <w:sz w:val="24"/>
              </w:rPr>
            </w:pPr>
            <w:r>
              <w:rPr>
                <w:color w:val="auto"/>
                <w:sz w:val="24"/>
              </w:rPr>
              <w:t>ηc——综合除尘效率，</w:t>
            </w:r>
            <w:r>
              <w:rPr>
                <w:rFonts w:hint="eastAsia"/>
                <w:bCs/>
                <w:color w:val="auto"/>
                <w:kern w:val="0"/>
                <w:sz w:val="24"/>
                <w:szCs w:val="21"/>
              </w:rPr>
              <w:t>旋风+</w:t>
            </w:r>
            <w:r>
              <w:rPr>
                <w:color w:val="auto"/>
                <w:sz w:val="24"/>
              </w:rPr>
              <w:t>布袋除尘器+低氮</w:t>
            </w:r>
            <w:r>
              <w:rPr>
                <w:rFonts w:hint="eastAsia"/>
                <w:color w:val="auto"/>
                <w:sz w:val="24"/>
                <w:lang w:val="en-US" w:eastAsia="zh-CN"/>
              </w:rPr>
              <w:t>技术</w:t>
            </w:r>
            <w:r>
              <w:rPr>
                <w:rFonts w:hint="eastAsia"/>
                <w:color w:val="auto"/>
                <w:sz w:val="24"/>
              </w:rPr>
              <w:t>，</w:t>
            </w:r>
            <w:r>
              <w:rPr>
                <w:color w:val="auto"/>
                <w:sz w:val="24"/>
              </w:rPr>
              <w:t>取99</w:t>
            </w:r>
            <w:r>
              <w:rPr>
                <w:rFonts w:hint="eastAsia"/>
                <w:color w:val="auto"/>
                <w:sz w:val="24"/>
              </w:rPr>
              <w:t>.7</w:t>
            </w:r>
            <w:r>
              <w:rPr>
                <w:color w:val="auto"/>
                <w:sz w:val="24"/>
              </w:rPr>
              <w:t>%；</w:t>
            </w:r>
          </w:p>
          <w:p>
            <w:pPr>
              <w:spacing w:line="440" w:lineRule="exact"/>
              <w:ind w:firstLine="480" w:firstLineChars="200"/>
              <w:rPr>
                <w:color w:val="auto"/>
                <w:sz w:val="24"/>
              </w:rPr>
            </w:pPr>
            <w:r>
              <w:rPr>
                <w:color w:val="auto"/>
                <w:sz w:val="24"/>
              </w:rPr>
              <w:t>Cfh——飞灰中的可燃物含量，</w:t>
            </w:r>
            <w:r>
              <w:rPr>
                <w:rFonts w:hint="eastAsia"/>
                <w:color w:val="auto"/>
                <w:sz w:val="24"/>
                <w:lang w:val="en-US" w:eastAsia="zh-CN"/>
              </w:rPr>
              <w:t>15</w:t>
            </w:r>
            <w:r>
              <w:rPr>
                <w:color w:val="auto"/>
                <w:sz w:val="24"/>
              </w:rPr>
              <w:t>%；</w:t>
            </w:r>
          </w:p>
          <w:p>
            <w:pPr>
              <w:spacing w:line="440" w:lineRule="exact"/>
              <w:ind w:firstLine="480" w:firstLineChars="200"/>
              <w:rPr>
                <w:rFonts w:hint="eastAsia"/>
                <w:color w:val="auto"/>
                <w:sz w:val="24"/>
              </w:rPr>
            </w:pPr>
            <w:r>
              <w:rPr>
                <w:color w:val="auto"/>
                <w:sz w:val="24"/>
              </w:rPr>
              <w:t>c）二氧化硫排放量按下式计算</w:t>
            </w:r>
          </w:p>
          <w:p>
            <w:pPr>
              <w:spacing w:line="440" w:lineRule="exact"/>
              <w:ind w:firstLine="420" w:firstLineChars="200"/>
              <w:rPr>
                <w:color w:val="auto"/>
                <w:sz w:val="24"/>
              </w:rPr>
            </w:pPr>
            <w:r>
              <w:rPr>
                <w:color w:val="auto"/>
              </w:rPr>
              <w:drawing>
                <wp:anchor distT="0" distB="0" distL="114300" distR="114300" simplePos="0" relativeHeight="251661312" behindDoc="1" locked="0" layoutInCell="1" allowOverlap="1">
                  <wp:simplePos x="0" y="0"/>
                  <wp:positionH relativeFrom="column">
                    <wp:posOffset>378460</wp:posOffset>
                  </wp:positionH>
                  <wp:positionV relativeFrom="paragraph">
                    <wp:posOffset>58420</wp:posOffset>
                  </wp:positionV>
                  <wp:extent cx="3218815" cy="483870"/>
                  <wp:effectExtent l="0" t="0" r="635" b="11430"/>
                  <wp:wrapNone/>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20"/>
                          <a:srcRect t="3656" b="14409"/>
                          <a:stretch>
                            <a:fillRect/>
                          </a:stretch>
                        </pic:blipFill>
                        <pic:spPr>
                          <a:xfrm>
                            <a:off x="0" y="0"/>
                            <a:ext cx="3218815" cy="483870"/>
                          </a:xfrm>
                          <a:prstGeom prst="rect">
                            <a:avLst/>
                          </a:prstGeom>
                          <a:noFill/>
                          <a:ln>
                            <a:noFill/>
                          </a:ln>
                        </pic:spPr>
                      </pic:pic>
                    </a:graphicData>
                  </a:graphic>
                </wp:anchor>
              </w:drawing>
            </w:r>
          </w:p>
          <w:p>
            <w:pPr>
              <w:spacing w:line="440" w:lineRule="exact"/>
              <w:ind w:firstLine="480" w:firstLineChars="200"/>
              <w:rPr>
                <w:color w:val="auto"/>
                <w:sz w:val="24"/>
              </w:rPr>
            </w:pPr>
          </w:p>
          <w:p>
            <w:pPr>
              <w:spacing w:line="440" w:lineRule="exact"/>
              <w:ind w:firstLine="480" w:firstLineChars="200"/>
              <w:rPr>
                <w:color w:val="auto"/>
                <w:sz w:val="24"/>
              </w:rPr>
            </w:pPr>
            <w:r>
              <w:rPr>
                <w:color w:val="auto"/>
                <w:sz w:val="24"/>
              </w:rPr>
              <w:t>式中：</w:t>
            </w:r>
          </w:p>
          <w:p>
            <w:pPr>
              <w:spacing w:line="440" w:lineRule="exact"/>
              <w:ind w:firstLine="480" w:firstLineChars="200"/>
              <w:rPr>
                <w:color w:val="auto"/>
                <w:sz w:val="24"/>
              </w:rPr>
            </w:pPr>
            <w:r>
              <w:rPr>
                <w:color w:val="auto"/>
                <w:sz w:val="24"/>
              </w:rPr>
              <w:t>E</w:t>
            </w:r>
            <w:r>
              <w:rPr>
                <w:color w:val="auto"/>
                <w:sz w:val="24"/>
                <w:vertAlign w:val="subscript"/>
              </w:rPr>
              <w:t>SO2</w:t>
            </w:r>
            <w:r>
              <w:rPr>
                <w:color w:val="auto"/>
                <w:sz w:val="24"/>
              </w:rPr>
              <w:t>——核算时段内SO</w:t>
            </w:r>
            <w:r>
              <w:rPr>
                <w:color w:val="auto"/>
                <w:sz w:val="24"/>
                <w:vertAlign w:val="subscript"/>
              </w:rPr>
              <w:t>2</w:t>
            </w:r>
            <w:r>
              <w:rPr>
                <w:color w:val="auto"/>
                <w:sz w:val="24"/>
              </w:rPr>
              <w:t>排放量，t；</w:t>
            </w:r>
          </w:p>
          <w:p>
            <w:pPr>
              <w:spacing w:line="440" w:lineRule="exact"/>
              <w:ind w:firstLine="480" w:firstLineChars="200"/>
              <w:rPr>
                <w:color w:val="auto"/>
                <w:sz w:val="24"/>
              </w:rPr>
            </w:pPr>
            <w:r>
              <w:rPr>
                <w:color w:val="auto"/>
                <w:sz w:val="24"/>
              </w:rPr>
              <w:t>R——核算时段内锅炉燃料耗量，</w:t>
            </w:r>
            <w:r>
              <w:rPr>
                <w:rFonts w:hint="eastAsia"/>
                <w:color w:val="auto"/>
                <w:sz w:val="24"/>
              </w:rPr>
              <w:t>生物质燃料</w:t>
            </w:r>
            <w:r>
              <w:rPr>
                <w:color w:val="auto"/>
                <w:sz w:val="24"/>
              </w:rPr>
              <w:t>量</w:t>
            </w:r>
            <w:r>
              <w:rPr>
                <w:rFonts w:hint="eastAsia"/>
                <w:color w:val="auto"/>
                <w:sz w:val="24"/>
              </w:rPr>
              <w:t>为</w:t>
            </w:r>
            <w:r>
              <w:rPr>
                <w:rFonts w:hint="eastAsia"/>
                <w:color w:val="auto"/>
                <w:sz w:val="24"/>
                <w:lang w:val="en-US" w:eastAsia="zh-CN"/>
              </w:rPr>
              <w:t>2996</w:t>
            </w:r>
            <w:r>
              <w:rPr>
                <w:rFonts w:hint="eastAsia"/>
                <w:color w:val="auto"/>
                <w:sz w:val="24"/>
              </w:rPr>
              <w:t>t</w:t>
            </w:r>
            <w:r>
              <w:rPr>
                <w:color w:val="auto"/>
                <w:sz w:val="24"/>
              </w:rPr>
              <w:t>；</w:t>
            </w:r>
          </w:p>
          <w:p>
            <w:pPr>
              <w:spacing w:line="440" w:lineRule="exact"/>
              <w:ind w:firstLine="480" w:firstLineChars="200"/>
              <w:rPr>
                <w:color w:val="auto"/>
                <w:sz w:val="24"/>
              </w:rPr>
            </w:pPr>
            <w:r>
              <w:rPr>
                <w:color w:val="auto"/>
                <w:sz w:val="24"/>
              </w:rPr>
              <w:t>Sar——收到基硫分的质量分数，</w:t>
            </w:r>
            <w:r>
              <w:rPr>
                <w:rFonts w:hint="eastAsia"/>
                <w:color w:val="auto"/>
                <w:sz w:val="24"/>
              </w:rPr>
              <w:t>0.0</w:t>
            </w:r>
            <w:r>
              <w:rPr>
                <w:color w:val="auto"/>
                <w:sz w:val="24"/>
              </w:rPr>
              <w:t>7%；</w:t>
            </w:r>
          </w:p>
          <w:p>
            <w:pPr>
              <w:spacing w:line="440" w:lineRule="exact"/>
              <w:ind w:firstLine="480" w:firstLineChars="200"/>
              <w:rPr>
                <w:color w:val="auto"/>
                <w:sz w:val="24"/>
              </w:rPr>
            </w:pPr>
            <w:r>
              <w:rPr>
                <w:color w:val="auto"/>
                <w:sz w:val="24"/>
              </w:rPr>
              <w:t>q</w:t>
            </w:r>
            <w:r>
              <w:rPr>
                <w:color w:val="auto"/>
                <w:sz w:val="24"/>
                <w:vertAlign w:val="subscript"/>
              </w:rPr>
              <w:t>4</w:t>
            </w:r>
            <w:r>
              <w:rPr>
                <w:color w:val="auto"/>
                <w:sz w:val="24"/>
              </w:rPr>
              <w:t>——锅炉机械不完全燃烧热损失，取</w:t>
            </w:r>
            <w:r>
              <w:rPr>
                <w:rFonts w:hint="eastAsia"/>
                <w:color w:val="auto"/>
                <w:sz w:val="24"/>
                <w:lang w:val="en-US" w:eastAsia="zh-CN"/>
              </w:rPr>
              <w:t>2</w:t>
            </w:r>
            <w:r>
              <w:rPr>
                <w:color w:val="auto"/>
                <w:sz w:val="24"/>
              </w:rPr>
              <w:t>%；</w:t>
            </w:r>
          </w:p>
          <w:p>
            <w:pPr>
              <w:spacing w:line="440" w:lineRule="exact"/>
              <w:ind w:firstLine="480" w:firstLineChars="200"/>
              <w:rPr>
                <w:color w:val="auto"/>
                <w:sz w:val="24"/>
              </w:rPr>
            </w:pPr>
            <w:r>
              <w:rPr>
                <w:color w:val="auto"/>
                <w:sz w:val="24"/>
              </w:rPr>
              <w:t>ηs——脱硫效率，取</w:t>
            </w:r>
            <w:r>
              <w:rPr>
                <w:rFonts w:hint="eastAsia"/>
                <w:color w:val="auto"/>
                <w:sz w:val="24"/>
              </w:rPr>
              <w:t>0</w:t>
            </w:r>
            <w:r>
              <w:rPr>
                <w:color w:val="auto"/>
                <w:sz w:val="24"/>
              </w:rPr>
              <w:t>%；</w:t>
            </w:r>
          </w:p>
          <w:p>
            <w:pPr>
              <w:spacing w:line="440" w:lineRule="exact"/>
              <w:ind w:firstLine="480" w:firstLineChars="200"/>
              <w:rPr>
                <w:color w:val="auto"/>
                <w:sz w:val="24"/>
              </w:rPr>
            </w:pPr>
            <w:r>
              <w:rPr>
                <w:color w:val="auto"/>
                <w:sz w:val="24"/>
              </w:rPr>
              <w:t>K——燃料中的硫燃烧后氧化成二氧化硫的份额，取0.</w:t>
            </w:r>
            <w:r>
              <w:rPr>
                <w:rFonts w:hint="eastAsia"/>
                <w:color w:val="auto"/>
                <w:sz w:val="24"/>
                <w:lang w:val="en-US" w:eastAsia="zh-CN"/>
              </w:rPr>
              <w:t>4</w:t>
            </w:r>
            <w:r>
              <w:rPr>
                <w:color w:val="auto"/>
                <w:sz w:val="24"/>
              </w:rPr>
              <w:t>；</w:t>
            </w:r>
          </w:p>
          <w:p>
            <w:pPr>
              <w:spacing w:line="440" w:lineRule="exact"/>
              <w:ind w:firstLine="480" w:firstLineChars="200"/>
              <w:rPr>
                <w:color w:val="auto"/>
                <w:sz w:val="24"/>
              </w:rPr>
            </w:pPr>
            <w:r>
              <w:rPr>
                <w:color w:val="auto"/>
                <w:sz w:val="24"/>
              </w:rPr>
              <w:t>d）氮氧化物排放量</w:t>
            </w:r>
          </w:p>
          <w:p>
            <w:pPr>
              <w:spacing w:line="440" w:lineRule="exact"/>
              <w:ind w:firstLine="480"/>
              <w:rPr>
                <w:color w:val="auto"/>
              </w:rPr>
            </w:pPr>
            <w:r>
              <w:rPr>
                <w:color w:val="auto"/>
              </w:rPr>
              <w:drawing>
                <wp:anchor distT="0" distB="0" distL="114300" distR="114300" simplePos="0" relativeHeight="251662336" behindDoc="1" locked="0" layoutInCell="1" allowOverlap="1">
                  <wp:simplePos x="0" y="0"/>
                  <wp:positionH relativeFrom="column">
                    <wp:posOffset>747395</wp:posOffset>
                  </wp:positionH>
                  <wp:positionV relativeFrom="paragraph">
                    <wp:posOffset>78105</wp:posOffset>
                  </wp:positionV>
                  <wp:extent cx="2666365" cy="609600"/>
                  <wp:effectExtent l="0" t="0" r="635"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1"/>
                          <a:srcRect b="-17073"/>
                          <a:stretch>
                            <a:fillRect/>
                          </a:stretch>
                        </pic:blipFill>
                        <pic:spPr>
                          <a:xfrm>
                            <a:off x="0" y="0"/>
                            <a:ext cx="2666365" cy="609600"/>
                          </a:xfrm>
                          <a:prstGeom prst="rect">
                            <a:avLst/>
                          </a:prstGeom>
                          <a:noFill/>
                          <a:ln>
                            <a:noFill/>
                          </a:ln>
                        </pic:spPr>
                      </pic:pic>
                    </a:graphicData>
                  </a:graphic>
                </wp:anchor>
              </w:drawing>
            </w:r>
          </w:p>
          <w:p>
            <w:pPr>
              <w:spacing w:line="440" w:lineRule="exact"/>
              <w:ind w:firstLine="480"/>
              <w:rPr>
                <w:color w:val="auto"/>
                <w:sz w:val="24"/>
              </w:rPr>
            </w:pPr>
          </w:p>
          <w:p>
            <w:pPr>
              <w:spacing w:line="440" w:lineRule="exact"/>
              <w:ind w:firstLine="480"/>
              <w:rPr>
                <w:color w:val="auto"/>
                <w:sz w:val="24"/>
              </w:rPr>
            </w:pPr>
            <w:r>
              <w:rPr>
                <w:color w:val="auto"/>
                <w:sz w:val="24"/>
              </w:rPr>
              <w:t>式中：</w:t>
            </w:r>
          </w:p>
          <w:p>
            <w:pPr>
              <w:spacing w:line="440" w:lineRule="exact"/>
              <w:ind w:firstLine="1200" w:firstLineChars="500"/>
              <w:rPr>
                <w:color w:val="auto"/>
                <w:sz w:val="24"/>
              </w:rPr>
            </w:pPr>
            <w:r>
              <w:rPr>
                <w:color w:val="auto"/>
                <w:sz w:val="24"/>
              </w:rPr>
              <w:t>E</w:t>
            </w:r>
            <w:r>
              <w:rPr>
                <w:color w:val="auto"/>
                <w:sz w:val="24"/>
                <w:vertAlign w:val="subscript"/>
              </w:rPr>
              <w:t>NOx</w:t>
            </w:r>
            <w:r>
              <w:rPr>
                <w:color w:val="auto"/>
                <w:sz w:val="24"/>
              </w:rPr>
              <w:t>——核算时段内氮氧化物排放量，t</w:t>
            </w:r>
            <w:r>
              <w:rPr>
                <w:rFonts w:hint="eastAsia"/>
                <w:color w:val="auto"/>
                <w:sz w:val="24"/>
              </w:rPr>
              <w:t>/</w:t>
            </w:r>
            <w:r>
              <w:rPr>
                <w:color w:val="auto"/>
                <w:sz w:val="24"/>
              </w:rPr>
              <w:t>h；</w:t>
            </w:r>
          </w:p>
          <w:p>
            <w:pPr>
              <w:spacing w:line="440" w:lineRule="exact"/>
              <w:ind w:firstLine="1200" w:firstLineChars="500"/>
              <w:rPr>
                <w:color w:val="auto"/>
                <w:sz w:val="24"/>
              </w:rPr>
            </w:pPr>
            <w:r>
              <w:rPr>
                <w:color w:val="auto"/>
                <w:sz w:val="24"/>
              </w:rPr>
              <w:t>ρ</w:t>
            </w:r>
            <w:r>
              <w:rPr>
                <w:color w:val="auto"/>
                <w:sz w:val="24"/>
                <w:vertAlign w:val="subscript"/>
              </w:rPr>
              <w:t>NOx</w:t>
            </w:r>
            <w:r>
              <w:rPr>
                <w:color w:val="auto"/>
                <w:sz w:val="24"/>
              </w:rPr>
              <w:t>——锅炉炉膛出口氮氧化物质量浓度</w:t>
            </w:r>
            <w:r>
              <w:rPr>
                <w:rFonts w:hint="eastAsia"/>
                <w:color w:val="auto"/>
                <w:sz w:val="24"/>
              </w:rPr>
              <w:t>，根据锅炉设计参数</w:t>
            </w:r>
            <w:r>
              <w:rPr>
                <w:rFonts w:hint="eastAsia"/>
                <w:color w:val="auto"/>
                <w:sz w:val="24"/>
                <w:lang w:eastAsia="zh-CN"/>
              </w:rPr>
              <w:t>（</w:t>
            </w:r>
            <w:r>
              <w:rPr>
                <w:rFonts w:hint="eastAsia"/>
                <w:color w:val="auto"/>
                <w:sz w:val="24"/>
                <w:lang w:val="en-US" w:eastAsia="zh-CN"/>
              </w:rPr>
              <w:t>自带低氮燃烧技术</w:t>
            </w:r>
            <w:r>
              <w:rPr>
                <w:rFonts w:hint="eastAsia"/>
                <w:color w:val="auto"/>
                <w:sz w:val="24"/>
                <w:lang w:eastAsia="zh-CN"/>
              </w:rPr>
              <w:t>）</w:t>
            </w:r>
            <w:r>
              <w:rPr>
                <w:rFonts w:hint="eastAsia"/>
                <w:color w:val="auto"/>
                <w:sz w:val="24"/>
              </w:rPr>
              <w:t>取</w:t>
            </w:r>
            <w:r>
              <w:rPr>
                <w:color w:val="auto"/>
                <w:sz w:val="24"/>
              </w:rPr>
              <w:t>1</w:t>
            </w:r>
            <w:r>
              <w:rPr>
                <w:rFonts w:hint="eastAsia"/>
                <w:color w:val="auto"/>
                <w:sz w:val="24"/>
                <w:lang w:val="en-US" w:eastAsia="zh-CN"/>
              </w:rPr>
              <w:t>26</w:t>
            </w:r>
            <w:r>
              <w:rPr>
                <w:color w:val="auto"/>
                <w:sz w:val="24"/>
              </w:rPr>
              <w:t>mg/m</w:t>
            </w:r>
            <w:r>
              <w:rPr>
                <w:color w:val="auto"/>
                <w:sz w:val="24"/>
                <w:vertAlign w:val="superscript"/>
              </w:rPr>
              <w:t>3</w:t>
            </w:r>
            <w:r>
              <w:rPr>
                <w:color w:val="auto"/>
                <w:sz w:val="24"/>
              </w:rPr>
              <w:t>；</w:t>
            </w:r>
          </w:p>
          <w:p>
            <w:pPr>
              <w:spacing w:line="440" w:lineRule="exact"/>
              <w:ind w:firstLine="1200" w:firstLineChars="500"/>
              <w:rPr>
                <w:color w:val="auto"/>
                <w:sz w:val="24"/>
              </w:rPr>
            </w:pPr>
            <w:r>
              <w:rPr>
                <w:color w:val="auto"/>
                <w:sz w:val="24"/>
              </w:rPr>
              <w:t>Q——干烟气排放量，为</w:t>
            </w:r>
            <w:r>
              <w:rPr>
                <w:rFonts w:hint="eastAsia"/>
                <w:color w:val="auto"/>
                <w:sz w:val="24"/>
                <w:lang w:val="en-US" w:eastAsia="zh-CN"/>
              </w:rPr>
              <w:t>18376928</w:t>
            </w:r>
            <w:r>
              <w:rPr>
                <w:color w:val="auto"/>
                <w:sz w:val="24"/>
              </w:rPr>
              <w:t>Nm</w:t>
            </w:r>
            <w:r>
              <w:rPr>
                <w:color w:val="auto"/>
                <w:sz w:val="24"/>
                <w:vertAlign w:val="superscript"/>
              </w:rPr>
              <w:t>3</w:t>
            </w:r>
            <w:r>
              <w:rPr>
                <w:color w:val="auto"/>
                <w:sz w:val="24"/>
              </w:rPr>
              <w:t>；</w:t>
            </w:r>
          </w:p>
          <w:p>
            <w:pPr>
              <w:spacing w:line="440" w:lineRule="exact"/>
              <w:ind w:firstLine="1200" w:firstLineChars="500"/>
              <w:rPr>
                <w:color w:val="auto"/>
                <w:sz w:val="24"/>
              </w:rPr>
            </w:pPr>
            <w:r>
              <w:rPr>
                <w:color w:val="auto"/>
                <w:sz w:val="24"/>
              </w:rPr>
              <w:t>η</w:t>
            </w:r>
            <w:r>
              <w:rPr>
                <w:color w:val="auto"/>
                <w:sz w:val="24"/>
                <w:vertAlign w:val="subscript"/>
              </w:rPr>
              <w:t>NOx</w:t>
            </w:r>
            <w:r>
              <w:rPr>
                <w:color w:val="auto"/>
                <w:sz w:val="24"/>
              </w:rPr>
              <w:t>——脱硝效率，取</w:t>
            </w:r>
            <w:r>
              <w:rPr>
                <w:rFonts w:hint="eastAsia"/>
                <w:color w:val="auto"/>
                <w:sz w:val="24"/>
                <w:lang w:val="en-US" w:eastAsia="zh-CN"/>
              </w:rPr>
              <w:t>0</w:t>
            </w:r>
            <w:r>
              <w:rPr>
                <w:color w:val="auto"/>
                <w:sz w:val="24"/>
              </w:rPr>
              <w:t>%；</w:t>
            </w:r>
          </w:p>
          <w:bookmarkEnd w:id="35"/>
          <w:p>
            <w:pPr>
              <w:spacing w:line="440" w:lineRule="exact"/>
              <w:jc w:val="center"/>
              <w:rPr>
                <w:b/>
                <w:bCs/>
                <w:color w:val="auto"/>
                <w:sz w:val="24"/>
              </w:rPr>
            </w:pPr>
            <w:r>
              <w:rPr>
                <w:b/>
                <w:bCs/>
                <w:color w:val="auto"/>
                <w:sz w:val="24"/>
              </w:rPr>
              <w:t>表</w:t>
            </w:r>
            <w:r>
              <w:rPr>
                <w:rFonts w:hint="eastAsia"/>
                <w:b/>
                <w:bCs/>
                <w:color w:val="auto"/>
                <w:sz w:val="24"/>
              </w:rPr>
              <w:t>4</w:t>
            </w:r>
            <w:r>
              <w:rPr>
                <w:b/>
                <w:bCs/>
                <w:color w:val="auto"/>
                <w:sz w:val="24"/>
              </w:rPr>
              <w:t>-</w:t>
            </w:r>
            <w:r>
              <w:rPr>
                <w:rFonts w:hint="eastAsia"/>
                <w:b/>
                <w:bCs/>
                <w:color w:val="auto"/>
                <w:sz w:val="24"/>
              </w:rPr>
              <w:t>1</w:t>
            </w:r>
            <w:r>
              <w:rPr>
                <w:b/>
                <w:bCs/>
                <w:color w:val="auto"/>
                <w:sz w:val="24"/>
              </w:rPr>
              <w:t xml:space="preserve">  生物质锅炉燃烧废气排放情况  （单位：mg/m</w:t>
            </w:r>
            <w:r>
              <w:rPr>
                <w:b/>
                <w:bCs/>
                <w:color w:val="auto"/>
                <w:sz w:val="24"/>
                <w:vertAlign w:val="superscript"/>
              </w:rPr>
              <w:t>3</w:t>
            </w:r>
            <w:r>
              <w:rPr>
                <w:b/>
                <w:bCs/>
                <w:color w:val="auto"/>
                <w:sz w:val="24"/>
              </w:rPr>
              <w:t>）</w:t>
            </w:r>
          </w:p>
          <w:tbl>
            <w:tblPr>
              <w:tblStyle w:val="30"/>
              <w:tblW w:w="845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77"/>
              <w:gridCol w:w="2258"/>
              <w:gridCol w:w="2259"/>
              <w:gridCol w:w="225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污染物</w:t>
                  </w:r>
                </w:p>
              </w:tc>
              <w:tc>
                <w:tcPr>
                  <w:tcW w:w="2258"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排放量</w:t>
                  </w:r>
                  <w:r>
                    <w:rPr>
                      <w:rFonts w:hint="eastAsia" w:ascii="Times New Roman" w:hAnsi="Times New Roman"/>
                      <w:color w:val="auto"/>
                    </w:rPr>
                    <w:t>（</w:t>
                  </w:r>
                  <w:r>
                    <w:rPr>
                      <w:rFonts w:ascii="Times New Roman" w:hAnsi="Times New Roman"/>
                      <w:color w:val="auto"/>
                    </w:rPr>
                    <w:t>kg/h</w:t>
                  </w:r>
                  <w:r>
                    <w:rPr>
                      <w:rFonts w:hint="eastAsia" w:ascii="Times New Roman" w:hAnsi="Times New Roman"/>
                      <w:color w:val="auto"/>
                    </w:rPr>
                    <w:t>）</w:t>
                  </w:r>
                </w:p>
              </w:tc>
              <w:tc>
                <w:tcPr>
                  <w:tcW w:w="2259"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排放量</w:t>
                  </w:r>
                  <w:r>
                    <w:rPr>
                      <w:rFonts w:hint="eastAsia" w:ascii="Times New Roman" w:hAnsi="Times New Roman"/>
                      <w:color w:val="auto"/>
                    </w:rPr>
                    <w:t>（</w:t>
                  </w:r>
                  <w:r>
                    <w:rPr>
                      <w:rFonts w:ascii="Times New Roman" w:hAnsi="Times New Roman"/>
                      <w:color w:val="auto"/>
                    </w:rPr>
                    <w:t>t/a</w:t>
                  </w:r>
                  <w:r>
                    <w:rPr>
                      <w:rFonts w:hint="eastAsia" w:ascii="Times New Roman" w:hAnsi="Times New Roman"/>
                      <w:color w:val="auto"/>
                    </w:rPr>
                    <w:t>）</w:t>
                  </w:r>
                </w:p>
              </w:tc>
              <w:tc>
                <w:tcPr>
                  <w:tcW w:w="2259"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排放浓度</w:t>
                  </w:r>
                  <w:r>
                    <w:rPr>
                      <w:rFonts w:hint="eastAsia" w:ascii="Times New Roman" w:hAnsi="Times New Roman"/>
                      <w:color w:val="auto"/>
                    </w:rPr>
                    <w:t>（</w:t>
                  </w:r>
                  <w:r>
                    <w:rPr>
                      <w:rFonts w:ascii="Times New Roman" w:hAnsi="Times New Roman"/>
                      <w:color w:val="auto"/>
                    </w:rPr>
                    <w:t>mg/m</w:t>
                  </w:r>
                  <w:r>
                    <w:rPr>
                      <w:rFonts w:ascii="Times New Roman" w:hAnsi="Times New Roman"/>
                      <w:color w:val="auto"/>
                      <w:vertAlign w:val="superscript"/>
                    </w:rPr>
                    <w:t>3</w:t>
                  </w:r>
                  <w:r>
                    <w:rPr>
                      <w:rFonts w:hint="eastAsia" w:ascii="Times New Roman" w:hAnsi="Times New Roman"/>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烟气量</w:t>
                  </w:r>
                </w:p>
              </w:tc>
              <w:tc>
                <w:tcPr>
                  <w:tcW w:w="6776" w:type="dxa"/>
                  <w:gridSpan w:val="3"/>
                  <w:noWrap w:val="0"/>
                  <w:vAlign w:val="center"/>
                </w:tcPr>
                <w:p>
                  <w:pPr>
                    <w:keepNext w:val="0"/>
                    <w:keepLines w:val="0"/>
                    <w:pageBreakBefore w:val="0"/>
                    <w:widowControl w:val="0"/>
                    <w:kinsoku/>
                    <w:wordWrap/>
                    <w:overflowPunct/>
                    <w:topLinePunct w:val="0"/>
                    <w:autoSpaceDE/>
                    <w:autoSpaceDN/>
                    <w:bidi w:val="0"/>
                    <w:spacing w:line="240" w:lineRule="auto"/>
                    <w:ind w:firstLine="0"/>
                    <w:jc w:val="center"/>
                    <w:textAlignment w:val="auto"/>
                    <w:rPr>
                      <w:color w:val="auto"/>
                      <w:szCs w:val="21"/>
                    </w:rPr>
                  </w:pPr>
                  <w:r>
                    <w:rPr>
                      <w:rFonts w:hint="eastAsia"/>
                      <w:color w:val="auto"/>
                      <w:szCs w:val="21"/>
                      <w:lang w:val="en-US" w:eastAsia="zh-CN" w:bidi="ar"/>
                    </w:rPr>
                    <w:t>18376928</w:t>
                  </w:r>
                  <w:r>
                    <w:rPr>
                      <w:color w:val="auto"/>
                      <w:szCs w:val="21"/>
                      <w:lang w:bidi="ar"/>
                    </w:rPr>
                    <w:t>Nm</w:t>
                  </w:r>
                  <w:r>
                    <w:rPr>
                      <w:color w:val="auto"/>
                      <w:szCs w:val="21"/>
                      <w:vertAlign w:val="superscript"/>
                      <w:lang w:bidi="ar"/>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颗粒物</w:t>
                  </w:r>
                </w:p>
              </w:tc>
              <w:tc>
                <w:tcPr>
                  <w:tcW w:w="22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22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0.777 </w:t>
                  </w:r>
                </w:p>
              </w:tc>
              <w:tc>
                <w:tcPr>
                  <w:tcW w:w="22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42.283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SO</w:t>
                  </w:r>
                  <w:r>
                    <w:rPr>
                      <w:rFonts w:ascii="Times New Roman" w:hAnsi="Times New Roman"/>
                      <w:color w:val="auto"/>
                      <w:vertAlign w:val="subscript"/>
                    </w:rPr>
                    <w:t>2</w:t>
                  </w:r>
                </w:p>
              </w:tc>
              <w:tc>
                <w:tcPr>
                  <w:tcW w:w="22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22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1.644 </w:t>
                  </w:r>
                </w:p>
              </w:tc>
              <w:tc>
                <w:tcPr>
                  <w:tcW w:w="22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89.471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NOx</w:t>
                  </w:r>
                </w:p>
              </w:tc>
              <w:tc>
                <w:tcPr>
                  <w:tcW w:w="22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22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2.315 </w:t>
                  </w:r>
                </w:p>
              </w:tc>
              <w:tc>
                <w:tcPr>
                  <w:tcW w:w="22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126.000 </w:t>
                  </w:r>
                </w:p>
              </w:tc>
            </w:tr>
          </w:tbl>
          <w:p>
            <w:pPr>
              <w:pStyle w:val="120"/>
              <w:adjustRightInd w:val="0"/>
              <w:spacing w:line="336" w:lineRule="auto"/>
              <w:ind w:firstLine="480"/>
              <w:rPr>
                <w:color w:val="auto"/>
                <w:sz w:val="24"/>
              </w:rPr>
            </w:pPr>
            <w:r>
              <w:rPr>
                <w:rFonts w:hint="eastAsia"/>
                <w:bCs/>
                <w:color w:val="auto"/>
                <w:sz w:val="24"/>
              </w:rPr>
              <w:t>本项目</w:t>
            </w:r>
            <w:r>
              <w:rPr>
                <w:bCs/>
                <w:color w:val="auto"/>
                <w:sz w:val="24"/>
              </w:rPr>
              <w:t>生物质锅炉</w:t>
            </w:r>
            <w:r>
              <w:rPr>
                <w:rFonts w:hint="eastAsia"/>
                <w:bCs/>
                <w:color w:val="auto"/>
                <w:sz w:val="24"/>
              </w:rPr>
              <w:t>烟气经</w:t>
            </w:r>
            <w:r>
              <w:rPr>
                <w:rFonts w:hint="eastAsia"/>
                <w:bCs/>
                <w:color w:val="auto"/>
                <w:kern w:val="0"/>
                <w:sz w:val="24"/>
                <w:szCs w:val="21"/>
              </w:rPr>
              <w:t>旋风+</w:t>
            </w:r>
            <w:r>
              <w:rPr>
                <w:rFonts w:hint="eastAsia"/>
                <w:bCs/>
                <w:color w:val="auto"/>
                <w:sz w:val="24"/>
              </w:rPr>
              <w:t>布袋除尘器+低氮燃烧</w:t>
            </w:r>
            <w:r>
              <w:rPr>
                <w:rFonts w:hint="eastAsia"/>
                <w:bCs/>
                <w:color w:val="auto"/>
                <w:sz w:val="24"/>
                <w:lang w:val="en-US" w:eastAsia="zh-CN"/>
              </w:rPr>
              <w:t>技术</w:t>
            </w:r>
            <w:r>
              <w:rPr>
                <w:rFonts w:hint="eastAsia"/>
                <w:bCs/>
                <w:color w:val="auto"/>
                <w:sz w:val="24"/>
              </w:rPr>
              <w:t>处理后由</w:t>
            </w:r>
            <w:r>
              <w:rPr>
                <w:rFonts w:hint="eastAsia"/>
                <w:bCs/>
                <w:color w:val="auto"/>
                <w:sz w:val="24"/>
                <w:lang w:val="en-US" w:eastAsia="zh-CN"/>
              </w:rPr>
              <w:t>3</w:t>
            </w:r>
            <w:r>
              <w:rPr>
                <w:rFonts w:hint="eastAsia"/>
                <w:bCs/>
                <w:color w:val="auto"/>
                <w:sz w:val="24"/>
              </w:rPr>
              <w:t>0m高烟囱（DA001）排放，</w:t>
            </w:r>
            <w:r>
              <w:rPr>
                <w:rFonts w:hint="eastAsia"/>
                <w:color w:val="auto"/>
                <w:sz w:val="24"/>
              </w:rPr>
              <w:t>锅炉</w:t>
            </w:r>
            <w:r>
              <w:rPr>
                <w:rFonts w:hint="eastAsia"/>
                <w:color w:val="auto"/>
                <w:sz w:val="24"/>
                <w:lang w:eastAsia="zh-CN"/>
              </w:rPr>
              <w:t>颗粒物</w:t>
            </w:r>
            <w:r>
              <w:rPr>
                <w:color w:val="auto"/>
                <w:sz w:val="24"/>
              </w:rPr>
              <w:t>产生量为</w:t>
            </w:r>
            <w:r>
              <w:rPr>
                <w:rFonts w:hint="eastAsia"/>
                <w:color w:val="auto"/>
                <w:sz w:val="24"/>
                <w:lang w:val="en-US" w:eastAsia="zh-CN"/>
              </w:rPr>
              <w:t>51.391</w:t>
            </w:r>
            <w:r>
              <w:rPr>
                <w:color w:val="auto"/>
                <w:sz w:val="24"/>
              </w:rPr>
              <w:t>kg/h（</w:t>
            </w:r>
            <w:r>
              <w:rPr>
                <w:rFonts w:hint="eastAsia"/>
                <w:color w:val="auto"/>
                <w:sz w:val="24"/>
                <w:lang w:val="en-US" w:eastAsia="zh-CN"/>
              </w:rPr>
              <w:t>259.013</w:t>
            </w:r>
            <w:r>
              <w:rPr>
                <w:color w:val="auto"/>
                <w:sz w:val="24"/>
              </w:rPr>
              <w:t>t/a），产生浓度为</w:t>
            </w:r>
            <w:r>
              <w:rPr>
                <w:rFonts w:hint="eastAsia"/>
                <w:color w:val="auto"/>
                <w:sz w:val="24"/>
                <w:lang w:val="en-US" w:eastAsia="zh-CN"/>
              </w:rPr>
              <w:t>14094.467</w:t>
            </w:r>
            <w:r>
              <w:rPr>
                <w:color w:val="auto"/>
                <w:sz w:val="24"/>
              </w:rPr>
              <w:t>mg/m</w:t>
            </w:r>
            <w:r>
              <w:rPr>
                <w:color w:val="auto"/>
                <w:sz w:val="24"/>
                <w:vertAlign w:val="superscript"/>
              </w:rPr>
              <w:t>3</w:t>
            </w:r>
            <w:r>
              <w:rPr>
                <w:color w:val="auto"/>
                <w:sz w:val="24"/>
              </w:rPr>
              <w:t>；SO</w:t>
            </w:r>
            <w:r>
              <w:rPr>
                <w:color w:val="auto"/>
                <w:sz w:val="24"/>
                <w:vertAlign w:val="subscript"/>
              </w:rPr>
              <w:t>2</w:t>
            </w:r>
            <w:r>
              <w:rPr>
                <w:color w:val="auto"/>
                <w:sz w:val="24"/>
              </w:rPr>
              <w:t>产生量为</w:t>
            </w:r>
            <w:r>
              <w:rPr>
                <w:rFonts w:hint="eastAsia"/>
                <w:color w:val="auto"/>
                <w:sz w:val="24"/>
                <w:lang w:val="en-US" w:eastAsia="zh-CN"/>
              </w:rPr>
              <w:t>0.326</w:t>
            </w:r>
            <w:r>
              <w:rPr>
                <w:color w:val="auto"/>
                <w:sz w:val="24"/>
              </w:rPr>
              <w:t>kg/h（</w:t>
            </w:r>
            <w:r>
              <w:rPr>
                <w:rFonts w:hint="eastAsia"/>
                <w:color w:val="auto"/>
                <w:sz w:val="24"/>
                <w:lang w:val="en-US" w:eastAsia="zh-CN"/>
              </w:rPr>
              <w:t>1.644</w:t>
            </w:r>
            <w:r>
              <w:rPr>
                <w:color w:val="auto"/>
                <w:sz w:val="24"/>
              </w:rPr>
              <w:t>t/a），产生浓度为</w:t>
            </w:r>
            <w:r>
              <w:rPr>
                <w:rFonts w:hint="eastAsia"/>
                <w:color w:val="auto"/>
                <w:sz w:val="24"/>
                <w:lang w:val="en-US" w:eastAsia="zh-CN"/>
              </w:rPr>
              <w:t>89.471</w:t>
            </w:r>
            <w:r>
              <w:rPr>
                <w:color w:val="auto"/>
                <w:sz w:val="24"/>
              </w:rPr>
              <w:t>mg/m</w:t>
            </w:r>
            <w:r>
              <w:rPr>
                <w:color w:val="auto"/>
                <w:sz w:val="24"/>
                <w:vertAlign w:val="superscript"/>
              </w:rPr>
              <w:t>3</w:t>
            </w:r>
            <w:r>
              <w:rPr>
                <w:color w:val="auto"/>
                <w:sz w:val="24"/>
              </w:rPr>
              <w:t>；NOx产生量为</w:t>
            </w:r>
            <w:r>
              <w:rPr>
                <w:rFonts w:hint="eastAsia"/>
                <w:color w:val="auto"/>
                <w:sz w:val="24"/>
                <w:lang w:val="en-US" w:eastAsia="zh-CN"/>
              </w:rPr>
              <w:t>0.459</w:t>
            </w:r>
            <w:r>
              <w:rPr>
                <w:color w:val="auto"/>
                <w:sz w:val="24"/>
              </w:rPr>
              <w:t>kg/h（</w:t>
            </w:r>
            <w:r>
              <w:rPr>
                <w:rFonts w:hint="eastAsia"/>
                <w:color w:val="auto"/>
                <w:sz w:val="24"/>
                <w:lang w:val="en-US" w:eastAsia="zh-CN"/>
              </w:rPr>
              <w:t>2.315</w:t>
            </w:r>
            <w:r>
              <w:rPr>
                <w:color w:val="auto"/>
                <w:sz w:val="24"/>
              </w:rPr>
              <w:t>t/a），产生浓度为</w:t>
            </w:r>
            <w:r>
              <w:rPr>
                <w:rFonts w:hint="eastAsia"/>
                <w:color w:val="auto"/>
                <w:sz w:val="24"/>
              </w:rPr>
              <w:t>1</w:t>
            </w:r>
            <w:r>
              <w:rPr>
                <w:rFonts w:hint="eastAsia"/>
                <w:color w:val="auto"/>
                <w:sz w:val="24"/>
                <w:lang w:val="en-US" w:eastAsia="zh-CN"/>
              </w:rPr>
              <w:t>26</w:t>
            </w:r>
            <w:r>
              <w:rPr>
                <w:color w:val="auto"/>
                <w:sz w:val="24"/>
              </w:rPr>
              <w:t>mg/m</w:t>
            </w:r>
            <w:r>
              <w:rPr>
                <w:color w:val="auto"/>
                <w:sz w:val="24"/>
                <w:vertAlign w:val="superscript"/>
              </w:rPr>
              <w:t>3</w:t>
            </w:r>
            <w:r>
              <w:rPr>
                <w:rFonts w:hint="eastAsia"/>
                <w:bCs/>
                <w:color w:val="auto"/>
                <w:sz w:val="24"/>
              </w:rPr>
              <w:t>；</w:t>
            </w:r>
            <w:r>
              <w:rPr>
                <w:rFonts w:hint="eastAsia"/>
                <w:color w:val="auto"/>
                <w:sz w:val="24"/>
              </w:rPr>
              <w:t>锅炉</w:t>
            </w:r>
            <w:r>
              <w:rPr>
                <w:rFonts w:hint="eastAsia"/>
                <w:color w:val="auto"/>
                <w:sz w:val="24"/>
                <w:lang w:eastAsia="zh-CN"/>
              </w:rPr>
              <w:t>颗粒物</w:t>
            </w:r>
            <w:r>
              <w:rPr>
                <w:rFonts w:hint="eastAsia"/>
                <w:color w:val="auto"/>
                <w:sz w:val="24"/>
              </w:rPr>
              <w:t>排放</w:t>
            </w:r>
            <w:r>
              <w:rPr>
                <w:color w:val="auto"/>
                <w:sz w:val="24"/>
              </w:rPr>
              <w:t>量为</w:t>
            </w:r>
            <w:r>
              <w:rPr>
                <w:rFonts w:hint="eastAsia"/>
                <w:color w:val="auto"/>
                <w:sz w:val="24"/>
              </w:rPr>
              <w:t>0.</w:t>
            </w:r>
            <w:r>
              <w:rPr>
                <w:rFonts w:hint="eastAsia"/>
                <w:color w:val="auto"/>
                <w:sz w:val="24"/>
                <w:lang w:val="en-US" w:eastAsia="zh-CN"/>
              </w:rPr>
              <w:t>154</w:t>
            </w:r>
            <w:r>
              <w:rPr>
                <w:color w:val="auto"/>
                <w:sz w:val="24"/>
              </w:rPr>
              <w:t>kg/h（</w:t>
            </w:r>
            <w:r>
              <w:rPr>
                <w:rFonts w:hint="eastAsia"/>
                <w:color w:val="auto"/>
                <w:sz w:val="24"/>
                <w:lang w:val="en-US" w:eastAsia="zh-CN"/>
              </w:rPr>
              <w:t>0.777</w:t>
            </w:r>
            <w:r>
              <w:rPr>
                <w:color w:val="auto"/>
                <w:sz w:val="24"/>
              </w:rPr>
              <w:t>t/a），</w:t>
            </w:r>
            <w:r>
              <w:rPr>
                <w:rFonts w:hint="eastAsia"/>
                <w:color w:val="auto"/>
                <w:sz w:val="24"/>
              </w:rPr>
              <w:t>排放</w:t>
            </w:r>
            <w:r>
              <w:rPr>
                <w:color w:val="auto"/>
                <w:sz w:val="24"/>
              </w:rPr>
              <w:t>浓度为</w:t>
            </w:r>
            <w:r>
              <w:rPr>
                <w:rFonts w:hint="eastAsia"/>
                <w:color w:val="auto"/>
                <w:sz w:val="24"/>
                <w:lang w:val="en-US" w:eastAsia="zh-CN"/>
              </w:rPr>
              <w:t>42.283</w:t>
            </w:r>
            <w:r>
              <w:rPr>
                <w:color w:val="auto"/>
                <w:sz w:val="24"/>
              </w:rPr>
              <w:t>mg/m</w:t>
            </w:r>
            <w:r>
              <w:rPr>
                <w:color w:val="auto"/>
                <w:sz w:val="24"/>
                <w:vertAlign w:val="superscript"/>
              </w:rPr>
              <w:t>3</w:t>
            </w:r>
            <w:r>
              <w:rPr>
                <w:color w:val="auto"/>
                <w:sz w:val="24"/>
              </w:rPr>
              <w:t>；SO</w:t>
            </w:r>
            <w:r>
              <w:rPr>
                <w:color w:val="auto"/>
                <w:sz w:val="24"/>
                <w:vertAlign w:val="subscript"/>
              </w:rPr>
              <w:t>2</w:t>
            </w:r>
            <w:r>
              <w:rPr>
                <w:rFonts w:hint="eastAsia"/>
                <w:color w:val="auto"/>
                <w:sz w:val="24"/>
              </w:rPr>
              <w:t>排放</w:t>
            </w:r>
            <w:r>
              <w:rPr>
                <w:color w:val="auto"/>
                <w:sz w:val="24"/>
              </w:rPr>
              <w:t>量为</w:t>
            </w:r>
            <w:r>
              <w:rPr>
                <w:rFonts w:hint="eastAsia"/>
                <w:color w:val="auto"/>
                <w:sz w:val="24"/>
                <w:lang w:val="en-US" w:eastAsia="zh-CN"/>
              </w:rPr>
              <w:t>0.326</w:t>
            </w:r>
            <w:r>
              <w:rPr>
                <w:color w:val="auto"/>
                <w:sz w:val="24"/>
              </w:rPr>
              <w:t>kg/h（</w:t>
            </w:r>
            <w:r>
              <w:rPr>
                <w:rFonts w:hint="eastAsia"/>
                <w:color w:val="auto"/>
                <w:sz w:val="24"/>
                <w:lang w:val="en-US" w:eastAsia="zh-CN"/>
              </w:rPr>
              <w:t>1.644</w:t>
            </w:r>
            <w:r>
              <w:rPr>
                <w:color w:val="auto"/>
                <w:sz w:val="24"/>
              </w:rPr>
              <w:t>t/a），</w:t>
            </w:r>
            <w:r>
              <w:rPr>
                <w:rFonts w:hint="eastAsia"/>
                <w:color w:val="auto"/>
                <w:sz w:val="24"/>
              </w:rPr>
              <w:t>排放</w:t>
            </w:r>
            <w:r>
              <w:rPr>
                <w:color w:val="auto"/>
                <w:sz w:val="24"/>
              </w:rPr>
              <w:t>浓度为</w:t>
            </w:r>
            <w:r>
              <w:rPr>
                <w:rFonts w:hint="eastAsia"/>
                <w:color w:val="auto"/>
                <w:sz w:val="24"/>
                <w:lang w:val="en-US" w:eastAsia="zh-CN"/>
              </w:rPr>
              <w:t>89.471</w:t>
            </w:r>
            <w:r>
              <w:rPr>
                <w:color w:val="auto"/>
                <w:sz w:val="24"/>
              </w:rPr>
              <w:t>mg/m</w:t>
            </w:r>
            <w:r>
              <w:rPr>
                <w:color w:val="auto"/>
                <w:sz w:val="24"/>
                <w:vertAlign w:val="superscript"/>
              </w:rPr>
              <w:t>3</w:t>
            </w:r>
            <w:r>
              <w:rPr>
                <w:color w:val="auto"/>
                <w:sz w:val="24"/>
              </w:rPr>
              <w:t>；NOx</w:t>
            </w:r>
            <w:r>
              <w:rPr>
                <w:rFonts w:hint="eastAsia"/>
                <w:color w:val="auto"/>
                <w:sz w:val="24"/>
              </w:rPr>
              <w:t>排放</w:t>
            </w:r>
            <w:r>
              <w:rPr>
                <w:color w:val="auto"/>
                <w:sz w:val="24"/>
              </w:rPr>
              <w:t>量为</w:t>
            </w:r>
            <w:r>
              <w:rPr>
                <w:rFonts w:hint="eastAsia"/>
                <w:color w:val="auto"/>
                <w:sz w:val="24"/>
                <w:lang w:val="en-US" w:eastAsia="zh-CN"/>
              </w:rPr>
              <w:t>0.459</w:t>
            </w:r>
            <w:r>
              <w:rPr>
                <w:color w:val="auto"/>
                <w:sz w:val="24"/>
              </w:rPr>
              <w:t>kg/h（</w:t>
            </w:r>
            <w:r>
              <w:rPr>
                <w:rFonts w:hint="eastAsia"/>
                <w:color w:val="auto"/>
                <w:sz w:val="24"/>
                <w:lang w:val="en-US" w:eastAsia="zh-CN"/>
              </w:rPr>
              <w:t>2.315</w:t>
            </w:r>
            <w:r>
              <w:rPr>
                <w:color w:val="auto"/>
                <w:sz w:val="24"/>
              </w:rPr>
              <w:t>t/a），</w:t>
            </w:r>
            <w:r>
              <w:rPr>
                <w:rFonts w:hint="eastAsia"/>
                <w:color w:val="auto"/>
                <w:sz w:val="24"/>
              </w:rPr>
              <w:t>排放</w:t>
            </w:r>
            <w:r>
              <w:rPr>
                <w:color w:val="auto"/>
                <w:sz w:val="24"/>
              </w:rPr>
              <w:t>浓度为</w:t>
            </w:r>
            <w:r>
              <w:rPr>
                <w:rFonts w:hint="eastAsia"/>
                <w:color w:val="auto"/>
                <w:sz w:val="24"/>
              </w:rPr>
              <w:t>1</w:t>
            </w:r>
            <w:r>
              <w:rPr>
                <w:rFonts w:hint="eastAsia"/>
                <w:color w:val="auto"/>
                <w:sz w:val="24"/>
                <w:lang w:val="en-US" w:eastAsia="zh-CN"/>
              </w:rPr>
              <w:t>26</w:t>
            </w:r>
            <w:r>
              <w:rPr>
                <w:color w:val="auto"/>
                <w:sz w:val="24"/>
              </w:rPr>
              <w:t>mg/m</w:t>
            </w:r>
            <w:r>
              <w:rPr>
                <w:color w:val="auto"/>
                <w:sz w:val="24"/>
                <w:vertAlign w:val="superscript"/>
              </w:rPr>
              <w:t>3</w:t>
            </w:r>
            <w:r>
              <w:rPr>
                <w:color w:val="auto"/>
                <w:sz w:val="24"/>
              </w:rPr>
              <w:t>，</w:t>
            </w:r>
            <w:r>
              <w:rPr>
                <w:rFonts w:hint="eastAsia"/>
                <w:color w:val="auto"/>
                <w:sz w:val="24"/>
              </w:rPr>
              <w:t>生物质锅炉排放的污染物浓度和林格曼黑度符合</w:t>
            </w:r>
            <w:r>
              <w:rPr>
                <w:color w:val="auto"/>
                <w:sz w:val="24"/>
              </w:rPr>
              <w:t>《锅炉大气污染物排放标准》（GB13271-20</w:t>
            </w:r>
            <w:r>
              <w:rPr>
                <w:rFonts w:hint="eastAsia"/>
                <w:color w:val="auto"/>
                <w:sz w:val="24"/>
              </w:rPr>
              <w:t>14</w:t>
            </w:r>
            <w:r>
              <w:rPr>
                <w:color w:val="auto"/>
                <w:sz w:val="24"/>
              </w:rPr>
              <w:t>）中</w:t>
            </w:r>
            <w:r>
              <w:rPr>
                <w:rFonts w:hint="eastAsia"/>
                <w:color w:val="auto"/>
                <w:sz w:val="24"/>
              </w:rPr>
              <w:t>表</w:t>
            </w:r>
            <w:r>
              <w:rPr>
                <w:color w:val="auto"/>
                <w:sz w:val="24"/>
              </w:rPr>
              <w:t>2</w:t>
            </w:r>
            <w:r>
              <w:rPr>
                <w:rFonts w:hint="eastAsia"/>
                <w:color w:val="auto"/>
                <w:sz w:val="24"/>
              </w:rPr>
              <w:t>燃煤锅炉</w:t>
            </w:r>
            <w:r>
              <w:rPr>
                <w:color w:val="auto"/>
                <w:sz w:val="24"/>
              </w:rPr>
              <w:t>标准（颗粒物浓度≤5</w:t>
            </w:r>
            <w:r>
              <w:rPr>
                <w:rFonts w:hint="eastAsia"/>
                <w:color w:val="auto"/>
                <w:sz w:val="24"/>
              </w:rPr>
              <w:t>0</w:t>
            </w:r>
            <w:r>
              <w:rPr>
                <w:color w:val="auto"/>
                <w:sz w:val="24"/>
              </w:rPr>
              <w:t>mg/m</w:t>
            </w:r>
            <w:r>
              <w:rPr>
                <w:color w:val="auto"/>
                <w:sz w:val="24"/>
                <w:vertAlign w:val="superscript"/>
              </w:rPr>
              <w:t>3</w:t>
            </w:r>
            <w:r>
              <w:rPr>
                <w:rFonts w:hint="eastAsia"/>
                <w:color w:val="auto"/>
                <w:sz w:val="24"/>
              </w:rPr>
              <w:t>，</w:t>
            </w:r>
            <w:r>
              <w:rPr>
                <w:color w:val="auto"/>
                <w:sz w:val="24"/>
              </w:rPr>
              <w:t>SO</w:t>
            </w:r>
            <w:r>
              <w:rPr>
                <w:color w:val="auto"/>
                <w:sz w:val="24"/>
                <w:vertAlign w:val="subscript"/>
              </w:rPr>
              <w:t>2</w:t>
            </w:r>
            <w:r>
              <w:rPr>
                <w:color w:val="auto"/>
                <w:sz w:val="24"/>
              </w:rPr>
              <w:t>浓度≤3</w:t>
            </w:r>
            <w:r>
              <w:rPr>
                <w:rFonts w:hint="eastAsia"/>
                <w:color w:val="auto"/>
                <w:sz w:val="24"/>
              </w:rPr>
              <w:t>0</w:t>
            </w:r>
            <w:r>
              <w:rPr>
                <w:color w:val="auto"/>
                <w:sz w:val="24"/>
              </w:rPr>
              <w:t>0mg/m</w:t>
            </w:r>
            <w:r>
              <w:rPr>
                <w:color w:val="auto"/>
                <w:sz w:val="24"/>
                <w:vertAlign w:val="superscript"/>
              </w:rPr>
              <w:t>3</w:t>
            </w:r>
            <w:r>
              <w:rPr>
                <w:color w:val="auto"/>
                <w:sz w:val="24"/>
              </w:rPr>
              <w:t>，</w:t>
            </w:r>
            <w:r>
              <w:rPr>
                <w:rFonts w:hint="eastAsia"/>
                <w:color w:val="auto"/>
                <w:sz w:val="24"/>
              </w:rPr>
              <w:t>NOx</w:t>
            </w:r>
            <w:r>
              <w:rPr>
                <w:color w:val="auto"/>
                <w:sz w:val="24"/>
              </w:rPr>
              <w:t>浓度≤300mg/m</w:t>
            </w:r>
            <w:r>
              <w:rPr>
                <w:color w:val="auto"/>
                <w:sz w:val="24"/>
                <w:vertAlign w:val="superscript"/>
              </w:rPr>
              <w:t>3</w:t>
            </w:r>
            <w:r>
              <w:rPr>
                <w:color w:val="auto"/>
                <w:sz w:val="24"/>
              </w:rPr>
              <w:t>，</w:t>
            </w:r>
            <w:r>
              <w:rPr>
                <w:rFonts w:hint="eastAsia"/>
                <w:color w:val="auto"/>
                <w:sz w:val="24"/>
              </w:rPr>
              <w:t>林格曼黑度</w:t>
            </w:r>
            <w:r>
              <w:rPr>
                <w:rFonts w:hint="eastAsia" w:ascii="宋体" w:hAnsi="宋体"/>
                <w:bCs/>
                <w:color w:val="auto"/>
                <w:szCs w:val="21"/>
              </w:rPr>
              <w:t>≤</w:t>
            </w:r>
            <w:r>
              <w:rPr>
                <w:rFonts w:hint="eastAsia"/>
                <w:bCs/>
                <w:color w:val="auto"/>
                <w:szCs w:val="21"/>
              </w:rPr>
              <w:t>1</w:t>
            </w:r>
            <w:r>
              <w:rPr>
                <w:color w:val="auto"/>
                <w:sz w:val="24"/>
              </w:rPr>
              <w:t>）限值要求</w:t>
            </w:r>
            <w:r>
              <w:rPr>
                <w:rFonts w:hint="eastAsia"/>
                <w:color w:val="auto"/>
                <w:sz w:val="24"/>
              </w:rPr>
              <w:t>。</w:t>
            </w:r>
          </w:p>
          <w:p>
            <w:pPr>
              <w:adjustRightInd w:val="0"/>
              <w:snapToGrid w:val="0"/>
              <w:jc w:val="center"/>
              <w:rPr>
                <w:b/>
                <w:color w:val="auto"/>
                <w:sz w:val="24"/>
                <w:szCs w:val="24"/>
              </w:rPr>
            </w:pPr>
            <w:r>
              <w:rPr>
                <w:b/>
                <w:color w:val="auto"/>
                <w:sz w:val="24"/>
                <w:szCs w:val="24"/>
              </w:rPr>
              <w:t>表</w:t>
            </w:r>
            <w:r>
              <w:rPr>
                <w:rFonts w:hint="eastAsia"/>
                <w:b/>
                <w:color w:val="auto"/>
                <w:sz w:val="24"/>
                <w:szCs w:val="24"/>
              </w:rPr>
              <w:t>4-</w:t>
            </w:r>
            <w:r>
              <w:rPr>
                <w:b/>
                <w:color w:val="auto"/>
                <w:sz w:val="24"/>
                <w:szCs w:val="24"/>
              </w:rPr>
              <w:t>2</w:t>
            </w:r>
            <w:r>
              <w:rPr>
                <w:rFonts w:hint="eastAsia"/>
                <w:b/>
                <w:color w:val="auto"/>
                <w:sz w:val="24"/>
                <w:szCs w:val="24"/>
              </w:rPr>
              <w:t xml:space="preserve"> </w:t>
            </w:r>
            <w:r>
              <w:rPr>
                <w:b/>
                <w:color w:val="auto"/>
                <w:sz w:val="24"/>
                <w:szCs w:val="24"/>
              </w:rPr>
              <w:t xml:space="preserve"> 废气污染源源强核算结果及相关参数一览表</w:t>
            </w:r>
          </w:p>
          <w:tbl>
            <w:tblPr>
              <w:tblStyle w:val="30"/>
              <w:tblW w:w="84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3"/>
              <w:gridCol w:w="344"/>
              <w:gridCol w:w="601"/>
              <w:gridCol w:w="344"/>
              <w:gridCol w:w="344"/>
              <w:gridCol w:w="725"/>
              <w:gridCol w:w="828"/>
              <w:gridCol w:w="713"/>
              <w:gridCol w:w="476"/>
              <w:gridCol w:w="588"/>
              <w:gridCol w:w="344"/>
              <w:gridCol w:w="725"/>
              <w:gridCol w:w="828"/>
              <w:gridCol w:w="713"/>
              <w:gridCol w:w="5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343" w:type="dxa"/>
                  <w:vMerge w:val="restart"/>
                  <w:noWrap w:val="0"/>
                  <w:vAlign w:val="center"/>
                </w:tcPr>
                <w:p>
                  <w:pPr>
                    <w:jc w:val="center"/>
                    <w:rPr>
                      <w:color w:val="auto"/>
                      <w:szCs w:val="21"/>
                    </w:rPr>
                  </w:pPr>
                  <w:r>
                    <w:rPr>
                      <w:color w:val="auto"/>
                      <w:szCs w:val="21"/>
                    </w:rPr>
                    <w:t>生产线</w:t>
                  </w:r>
                </w:p>
              </w:tc>
              <w:tc>
                <w:tcPr>
                  <w:tcW w:w="344" w:type="dxa"/>
                  <w:vMerge w:val="restart"/>
                  <w:noWrap w:val="0"/>
                  <w:vAlign w:val="center"/>
                </w:tcPr>
                <w:p>
                  <w:pPr>
                    <w:jc w:val="center"/>
                    <w:rPr>
                      <w:color w:val="auto"/>
                      <w:szCs w:val="21"/>
                    </w:rPr>
                  </w:pPr>
                  <w:r>
                    <w:rPr>
                      <w:color w:val="auto"/>
                      <w:szCs w:val="21"/>
                    </w:rPr>
                    <w:t>装置</w:t>
                  </w:r>
                </w:p>
              </w:tc>
              <w:tc>
                <w:tcPr>
                  <w:tcW w:w="601" w:type="dxa"/>
                  <w:vMerge w:val="restart"/>
                  <w:noWrap w:val="0"/>
                  <w:vAlign w:val="center"/>
                </w:tcPr>
                <w:p>
                  <w:pPr>
                    <w:jc w:val="center"/>
                    <w:rPr>
                      <w:color w:val="auto"/>
                      <w:szCs w:val="21"/>
                    </w:rPr>
                  </w:pPr>
                  <w:r>
                    <w:rPr>
                      <w:color w:val="auto"/>
                      <w:szCs w:val="21"/>
                    </w:rPr>
                    <w:t>污染源</w:t>
                  </w:r>
                </w:p>
              </w:tc>
              <w:tc>
                <w:tcPr>
                  <w:tcW w:w="344" w:type="dxa"/>
                  <w:vMerge w:val="restart"/>
                  <w:noWrap w:val="0"/>
                  <w:vAlign w:val="center"/>
                </w:tcPr>
                <w:p>
                  <w:pPr>
                    <w:jc w:val="center"/>
                    <w:rPr>
                      <w:color w:val="auto"/>
                      <w:szCs w:val="21"/>
                    </w:rPr>
                  </w:pPr>
                  <w:r>
                    <w:rPr>
                      <w:color w:val="auto"/>
                      <w:szCs w:val="21"/>
                    </w:rPr>
                    <w:t>污染物</w:t>
                  </w:r>
                </w:p>
              </w:tc>
              <w:tc>
                <w:tcPr>
                  <w:tcW w:w="2610" w:type="dxa"/>
                  <w:gridSpan w:val="4"/>
                  <w:noWrap w:val="0"/>
                  <w:vAlign w:val="center"/>
                </w:tcPr>
                <w:p>
                  <w:pPr>
                    <w:jc w:val="center"/>
                    <w:rPr>
                      <w:color w:val="auto"/>
                      <w:szCs w:val="21"/>
                    </w:rPr>
                  </w:pPr>
                  <w:r>
                    <w:rPr>
                      <w:color w:val="auto"/>
                      <w:szCs w:val="21"/>
                    </w:rPr>
                    <w:t>污染物产生</w:t>
                  </w:r>
                </w:p>
              </w:tc>
              <w:tc>
                <w:tcPr>
                  <w:tcW w:w="1064" w:type="dxa"/>
                  <w:gridSpan w:val="2"/>
                  <w:noWrap w:val="0"/>
                  <w:vAlign w:val="center"/>
                </w:tcPr>
                <w:p>
                  <w:pPr>
                    <w:jc w:val="center"/>
                    <w:rPr>
                      <w:color w:val="auto"/>
                      <w:szCs w:val="21"/>
                    </w:rPr>
                  </w:pPr>
                  <w:r>
                    <w:rPr>
                      <w:color w:val="auto"/>
                      <w:szCs w:val="21"/>
                    </w:rPr>
                    <w:t>治理措施</w:t>
                  </w:r>
                </w:p>
              </w:tc>
              <w:tc>
                <w:tcPr>
                  <w:tcW w:w="2610" w:type="dxa"/>
                  <w:gridSpan w:val="4"/>
                  <w:noWrap w:val="0"/>
                  <w:vAlign w:val="center"/>
                </w:tcPr>
                <w:p>
                  <w:pPr>
                    <w:jc w:val="center"/>
                    <w:rPr>
                      <w:color w:val="auto"/>
                      <w:szCs w:val="21"/>
                    </w:rPr>
                  </w:pPr>
                  <w:r>
                    <w:rPr>
                      <w:color w:val="auto"/>
                      <w:szCs w:val="21"/>
                    </w:rPr>
                    <w:t>污染物排放</w:t>
                  </w:r>
                </w:p>
              </w:tc>
              <w:tc>
                <w:tcPr>
                  <w:tcW w:w="542" w:type="dxa"/>
                  <w:vMerge w:val="restart"/>
                  <w:noWrap w:val="0"/>
                  <w:vAlign w:val="center"/>
                </w:tcPr>
                <w:p>
                  <w:pPr>
                    <w:jc w:val="center"/>
                    <w:rPr>
                      <w:rFonts w:hint="eastAsia"/>
                      <w:color w:val="auto"/>
                      <w:szCs w:val="21"/>
                    </w:rPr>
                  </w:pPr>
                  <w:r>
                    <w:rPr>
                      <w:color w:val="auto"/>
                      <w:szCs w:val="21"/>
                    </w:rPr>
                    <w:t>排放时间</w:t>
                  </w:r>
                  <w:r>
                    <w:rPr>
                      <w:rFonts w:hint="eastAsia"/>
                      <w:color w:val="auto"/>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343" w:type="dxa"/>
                  <w:vMerge w:val="continue"/>
                  <w:noWrap w:val="0"/>
                  <w:vAlign w:val="center"/>
                </w:tcPr>
                <w:p>
                  <w:pPr>
                    <w:jc w:val="center"/>
                    <w:rPr>
                      <w:color w:val="auto"/>
                      <w:szCs w:val="21"/>
                    </w:rPr>
                  </w:pPr>
                </w:p>
              </w:tc>
              <w:tc>
                <w:tcPr>
                  <w:tcW w:w="344" w:type="dxa"/>
                  <w:vMerge w:val="continue"/>
                  <w:noWrap w:val="0"/>
                  <w:vAlign w:val="center"/>
                </w:tcPr>
                <w:p>
                  <w:pPr>
                    <w:jc w:val="center"/>
                    <w:rPr>
                      <w:color w:val="auto"/>
                      <w:szCs w:val="21"/>
                    </w:rPr>
                  </w:pPr>
                </w:p>
              </w:tc>
              <w:tc>
                <w:tcPr>
                  <w:tcW w:w="601" w:type="dxa"/>
                  <w:vMerge w:val="continue"/>
                  <w:noWrap w:val="0"/>
                  <w:vAlign w:val="center"/>
                </w:tcPr>
                <w:p>
                  <w:pPr>
                    <w:jc w:val="center"/>
                    <w:rPr>
                      <w:color w:val="auto"/>
                      <w:szCs w:val="21"/>
                    </w:rPr>
                  </w:pPr>
                </w:p>
              </w:tc>
              <w:tc>
                <w:tcPr>
                  <w:tcW w:w="344" w:type="dxa"/>
                  <w:vMerge w:val="continue"/>
                  <w:noWrap w:val="0"/>
                  <w:vAlign w:val="center"/>
                </w:tcPr>
                <w:p>
                  <w:pPr>
                    <w:jc w:val="center"/>
                    <w:rPr>
                      <w:color w:val="auto"/>
                      <w:szCs w:val="21"/>
                    </w:rPr>
                  </w:pPr>
                </w:p>
              </w:tc>
              <w:tc>
                <w:tcPr>
                  <w:tcW w:w="344" w:type="dxa"/>
                  <w:noWrap w:val="0"/>
                  <w:vAlign w:val="center"/>
                </w:tcPr>
                <w:p>
                  <w:pPr>
                    <w:jc w:val="center"/>
                    <w:rPr>
                      <w:color w:val="auto"/>
                      <w:szCs w:val="21"/>
                    </w:rPr>
                  </w:pPr>
                  <w:r>
                    <w:rPr>
                      <w:color w:val="auto"/>
                      <w:szCs w:val="21"/>
                    </w:rPr>
                    <w:t>核算方法</w:t>
                  </w:r>
                </w:p>
              </w:tc>
              <w:tc>
                <w:tcPr>
                  <w:tcW w:w="725" w:type="dxa"/>
                  <w:noWrap w:val="0"/>
                  <w:vAlign w:val="center"/>
                </w:tcPr>
                <w:p>
                  <w:pPr>
                    <w:jc w:val="center"/>
                    <w:rPr>
                      <w:color w:val="auto"/>
                      <w:szCs w:val="21"/>
                    </w:rPr>
                  </w:pPr>
                  <w:r>
                    <w:rPr>
                      <w:color w:val="auto"/>
                      <w:szCs w:val="21"/>
                    </w:rPr>
                    <w:t>废气产生量/（m</w:t>
                  </w:r>
                  <w:r>
                    <w:rPr>
                      <w:color w:val="auto"/>
                      <w:szCs w:val="21"/>
                      <w:vertAlign w:val="superscript"/>
                    </w:rPr>
                    <w:t>3</w:t>
                  </w:r>
                  <w:r>
                    <w:rPr>
                      <w:color w:val="auto"/>
                      <w:szCs w:val="21"/>
                    </w:rPr>
                    <w:t>/h）</w:t>
                  </w:r>
                </w:p>
              </w:tc>
              <w:tc>
                <w:tcPr>
                  <w:tcW w:w="828" w:type="dxa"/>
                  <w:noWrap w:val="0"/>
                  <w:vAlign w:val="center"/>
                </w:tcPr>
                <w:p>
                  <w:pPr>
                    <w:jc w:val="center"/>
                    <w:rPr>
                      <w:color w:val="auto"/>
                      <w:szCs w:val="21"/>
                    </w:rPr>
                  </w:pPr>
                  <w:r>
                    <w:rPr>
                      <w:color w:val="auto"/>
                      <w:szCs w:val="21"/>
                    </w:rPr>
                    <w:t>产生质量浓度/（mg/m</w:t>
                  </w:r>
                  <w:r>
                    <w:rPr>
                      <w:color w:val="auto"/>
                      <w:szCs w:val="21"/>
                      <w:vertAlign w:val="superscript"/>
                    </w:rPr>
                    <w:t>3</w:t>
                  </w:r>
                  <w:r>
                    <w:rPr>
                      <w:color w:val="auto"/>
                      <w:szCs w:val="21"/>
                    </w:rPr>
                    <w:t>）</w:t>
                  </w:r>
                </w:p>
              </w:tc>
              <w:tc>
                <w:tcPr>
                  <w:tcW w:w="713" w:type="dxa"/>
                  <w:noWrap w:val="0"/>
                  <w:vAlign w:val="center"/>
                </w:tcPr>
                <w:p>
                  <w:pPr>
                    <w:jc w:val="center"/>
                    <w:rPr>
                      <w:color w:val="auto"/>
                      <w:szCs w:val="21"/>
                    </w:rPr>
                  </w:pPr>
                  <w:r>
                    <w:rPr>
                      <w:color w:val="auto"/>
                      <w:szCs w:val="21"/>
                    </w:rPr>
                    <w:t>产生量</w:t>
                  </w:r>
                </w:p>
                <w:p>
                  <w:pPr>
                    <w:jc w:val="center"/>
                    <w:rPr>
                      <w:color w:val="auto"/>
                      <w:szCs w:val="21"/>
                    </w:rPr>
                  </w:pPr>
                  <w:r>
                    <w:rPr>
                      <w:rFonts w:hint="eastAsia"/>
                      <w:color w:val="auto"/>
                      <w:szCs w:val="21"/>
                      <w:lang w:eastAsia="zh-CN"/>
                    </w:rPr>
                    <w:t>(</w:t>
                  </w:r>
                  <w:r>
                    <w:rPr>
                      <w:color w:val="auto"/>
                      <w:szCs w:val="21"/>
                    </w:rPr>
                    <w:t>kg/h</w:t>
                  </w:r>
                  <w:r>
                    <w:rPr>
                      <w:rFonts w:hint="eastAsia"/>
                      <w:color w:val="auto"/>
                      <w:szCs w:val="21"/>
                      <w:lang w:eastAsia="zh-CN"/>
                    </w:rPr>
                    <w:t>)</w:t>
                  </w:r>
                </w:p>
              </w:tc>
              <w:tc>
                <w:tcPr>
                  <w:tcW w:w="476" w:type="dxa"/>
                  <w:noWrap w:val="0"/>
                  <w:vAlign w:val="center"/>
                </w:tcPr>
                <w:p>
                  <w:pPr>
                    <w:jc w:val="center"/>
                    <w:rPr>
                      <w:color w:val="auto"/>
                      <w:szCs w:val="21"/>
                    </w:rPr>
                  </w:pPr>
                  <w:r>
                    <w:rPr>
                      <w:color w:val="auto"/>
                      <w:szCs w:val="21"/>
                    </w:rPr>
                    <w:t>工艺</w:t>
                  </w:r>
                </w:p>
              </w:tc>
              <w:tc>
                <w:tcPr>
                  <w:tcW w:w="588" w:type="dxa"/>
                  <w:noWrap w:val="0"/>
                  <w:vAlign w:val="center"/>
                </w:tcPr>
                <w:p>
                  <w:pPr>
                    <w:jc w:val="center"/>
                    <w:rPr>
                      <w:color w:val="auto"/>
                      <w:szCs w:val="21"/>
                    </w:rPr>
                  </w:pPr>
                  <w:r>
                    <w:rPr>
                      <w:color w:val="auto"/>
                      <w:szCs w:val="21"/>
                    </w:rPr>
                    <w:t>效率（%）</w:t>
                  </w:r>
                </w:p>
              </w:tc>
              <w:tc>
                <w:tcPr>
                  <w:tcW w:w="344" w:type="dxa"/>
                  <w:noWrap w:val="0"/>
                  <w:vAlign w:val="center"/>
                </w:tcPr>
                <w:p>
                  <w:pPr>
                    <w:jc w:val="center"/>
                    <w:rPr>
                      <w:color w:val="auto"/>
                      <w:szCs w:val="21"/>
                    </w:rPr>
                  </w:pPr>
                  <w:r>
                    <w:rPr>
                      <w:color w:val="auto"/>
                      <w:szCs w:val="21"/>
                    </w:rPr>
                    <w:t>核算方法</w:t>
                  </w:r>
                </w:p>
              </w:tc>
              <w:tc>
                <w:tcPr>
                  <w:tcW w:w="725" w:type="dxa"/>
                  <w:noWrap w:val="0"/>
                  <w:vAlign w:val="center"/>
                </w:tcPr>
                <w:p>
                  <w:pPr>
                    <w:jc w:val="center"/>
                    <w:rPr>
                      <w:color w:val="auto"/>
                      <w:szCs w:val="21"/>
                    </w:rPr>
                  </w:pPr>
                  <w:r>
                    <w:rPr>
                      <w:color w:val="auto"/>
                      <w:szCs w:val="21"/>
                    </w:rPr>
                    <w:t>废气排放量/（m</w:t>
                  </w:r>
                  <w:r>
                    <w:rPr>
                      <w:color w:val="auto"/>
                      <w:szCs w:val="21"/>
                      <w:vertAlign w:val="superscript"/>
                    </w:rPr>
                    <w:t>3</w:t>
                  </w:r>
                  <w:r>
                    <w:rPr>
                      <w:color w:val="auto"/>
                      <w:szCs w:val="21"/>
                    </w:rPr>
                    <w:t>/h）</w:t>
                  </w:r>
                </w:p>
              </w:tc>
              <w:tc>
                <w:tcPr>
                  <w:tcW w:w="828" w:type="dxa"/>
                  <w:noWrap w:val="0"/>
                  <w:vAlign w:val="center"/>
                </w:tcPr>
                <w:p>
                  <w:pPr>
                    <w:jc w:val="center"/>
                    <w:rPr>
                      <w:color w:val="auto"/>
                      <w:szCs w:val="21"/>
                    </w:rPr>
                  </w:pPr>
                  <w:r>
                    <w:rPr>
                      <w:color w:val="auto"/>
                      <w:szCs w:val="21"/>
                    </w:rPr>
                    <w:t>排放质量浓度/（mg/m</w:t>
                  </w:r>
                  <w:r>
                    <w:rPr>
                      <w:color w:val="auto"/>
                      <w:szCs w:val="21"/>
                      <w:vertAlign w:val="superscript"/>
                    </w:rPr>
                    <w:t>3</w:t>
                  </w:r>
                  <w:r>
                    <w:rPr>
                      <w:color w:val="auto"/>
                      <w:szCs w:val="21"/>
                    </w:rPr>
                    <w:t>）</w:t>
                  </w:r>
                </w:p>
              </w:tc>
              <w:tc>
                <w:tcPr>
                  <w:tcW w:w="713" w:type="dxa"/>
                  <w:noWrap w:val="0"/>
                  <w:vAlign w:val="center"/>
                </w:tcPr>
                <w:p>
                  <w:pPr>
                    <w:jc w:val="center"/>
                    <w:rPr>
                      <w:color w:val="auto"/>
                      <w:szCs w:val="21"/>
                    </w:rPr>
                  </w:pPr>
                  <w:r>
                    <w:rPr>
                      <w:color w:val="auto"/>
                      <w:szCs w:val="21"/>
                    </w:rPr>
                    <w:t>排放量（kg/h）</w:t>
                  </w:r>
                </w:p>
              </w:tc>
              <w:tc>
                <w:tcPr>
                  <w:tcW w:w="542" w:type="dxa"/>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43" w:type="dxa"/>
                  <w:vMerge w:val="restart"/>
                  <w:noWrap w:val="0"/>
                  <w:vAlign w:val="center"/>
                </w:tcPr>
                <w:p>
                  <w:pPr>
                    <w:jc w:val="center"/>
                    <w:rPr>
                      <w:color w:val="auto"/>
                      <w:szCs w:val="21"/>
                    </w:rPr>
                  </w:pPr>
                  <w:r>
                    <w:rPr>
                      <w:rFonts w:hint="eastAsia"/>
                      <w:color w:val="auto"/>
                      <w:szCs w:val="21"/>
                    </w:rPr>
                    <w:t xml:space="preserve"> 供热</w:t>
                  </w:r>
                </w:p>
              </w:tc>
              <w:tc>
                <w:tcPr>
                  <w:tcW w:w="344" w:type="dxa"/>
                  <w:vMerge w:val="restart"/>
                  <w:noWrap w:val="0"/>
                  <w:vAlign w:val="center"/>
                </w:tcPr>
                <w:p>
                  <w:pPr>
                    <w:jc w:val="center"/>
                    <w:rPr>
                      <w:color w:val="auto"/>
                      <w:szCs w:val="21"/>
                    </w:rPr>
                  </w:pPr>
                  <w:r>
                    <w:rPr>
                      <w:rFonts w:hint="eastAsia"/>
                      <w:color w:val="auto"/>
                      <w:szCs w:val="21"/>
                    </w:rPr>
                    <w:t>燃生物质锅炉</w:t>
                  </w:r>
                </w:p>
              </w:tc>
              <w:tc>
                <w:tcPr>
                  <w:tcW w:w="601" w:type="dxa"/>
                  <w:vMerge w:val="restart"/>
                  <w:noWrap w:val="0"/>
                  <w:vAlign w:val="center"/>
                </w:tcPr>
                <w:p>
                  <w:pPr>
                    <w:jc w:val="center"/>
                    <w:rPr>
                      <w:color w:val="auto"/>
                      <w:szCs w:val="21"/>
                    </w:rPr>
                  </w:pPr>
                  <w:r>
                    <w:rPr>
                      <w:color w:val="auto"/>
                      <w:kern w:val="0"/>
                      <w:szCs w:val="21"/>
                      <w:lang w:bidi="ar"/>
                    </w:rPr>
                    <w:t>DA001</w:t>
                  </w:r>
                  <w:r>
                    <w:rPr>
                      <w:rFonts w:hint="eastAsia"/>
                      <w:color w:val="auto"/>
                      <w:szCs w:val="21"/>
                    </w:rPr>
                    <w:t>烟囱</w:t>
                  </w:r>
                </w:p>
              </w:tc>
              <w:tc>
                <w:tcPr>
                  <w:tcW w:w="344" w:type="dxa"/>
                  <w:noWrap w:val="0"/>
                  <w:vAlign w:val="center"/>
                </w:tcPr>
                <w:p>
                  <w:pPr>
                    <w:keepNext w:val="0"/>
                    <w:keepLines w:val="0"/>
                    <w:widowControl/>
                    <w:suppressLineNumbers w:val="0"/>
                    <w:jc w:val="center"/>
                    <w:textAlignment w:val="center"/>
                    <w:rPr>
                      <w:rFonts w:hint="eastAsia"/>
                      <w:color w:val="auto"/>
                      <w:szCs w:val="21"/>
                    </w:rPr>
                  </w:pPr>
                  <w:r>
                    <w:rPr>
                      <w:rFonts w:hint="eastAsia" w:ascii="宋体" w:hAnsi="宋体" w:eastAsia="宋体" w:cs="宋体"/>
                      <w:i w:val="0"/>
                      <w:iCs w:val="0"/>
                      <w:color w:val="auto"/>
                      <w:kern w:val="0"/>
                      <w:sz w:val="21"/>
                      <w:szCs w:val="21"/>
                      <w:u w:val="none"/>
                      <w:lang w:val="en-US" w:eastAsia="zh-CN" w:bidi="ar"/>
                    </w:rPr>
                    <w:t>二氧化硫</w:t>
                  </w:r>
                </w:p>
              </w:tc>
              <w:tc>
                <w:tcPr>
                  <w:tcW w:w="344" w:type="dxa"/>
                  <w:vMerge w:val="restart"/>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物料衡算法</w:t>
                  </w:r>
                </w:p>
              </w:tc>
              <w:tc>
                <w:tcPr>
                  <w:tcW w:w="725" w:type="dxa"/>
                  <w:vMerge w:val="restart"/>
                  <w:noWrap w:val="0"/>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3646 </w:t>
                  </w:r>
                </w:p>
              </w:tc>
              <w:tc>
                <w:tcPr>
                  <w:tcW w:w="828"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89.471 </w:t>
                  </w:r>
                </w:p>
              </w:tc>
              <w:tc>
                <w:tcPr>
                  <w:tcW w:w="71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476" w:type="dxa"/>
                  <w:vMerge w:val="restart"/>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旋风</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布袋除尘器</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低氮燃烧</w:t>
                  </w:r>
                  <w:r>
                    <w:rPr>
                      <w:rFonts w:hint="eastAsia" w:ascii="宋体" w:hAnsi="宋体" w:cs="宋体"/>
                      <w:i w:val="0"/>
                      <w:iCs w:val="0"/>
                      <w:color w:val="auto"/>
                      <w:kern w:val="0"/>
                      <w:sz w:val="21"/>
                      <w:szCs w:val="21"/>
                      <w:u w:val="none"/>
                      <w:lang w:val="en-US" w:eastAsia="zh-CN" w:bidi="ar"/>
                    </w:rPr>
                    <w:t>技术</w:t>
                  </w:r>
                  <w:r>
                    <w:rPr>
                      <w:rFonts w:hint="default" w:ascii="Times New Roman" w:hAnsi="Times New Roman" w:eastAsia="宋体" w:cs="Times New Roman"/>
                      <w:i w:val="0"/>
                      <w:iCs w:val="0"/>
                      <w:color w:val="auto"/>
                      <w:kern w:val="0"/>
                      <w:sz w:val="21"/>
                      <w:szCs w:val="21"/>
                      <w:u w:val="none"/>
                      <w:lang w:val="en-US" w:eastAsia="zh-CN" w:bidi="ar"/>
                    </w:rPr>
                    <w:t>+30m</w:t>
                  </w:r>
                  <w:r>
                    <w:rPr>
                      <w:rFonts w:hint="eastAsia" w:ascii="宋体" w:hAnsi="宋体" w:eastAsia="宋体" w:cs="宋体"/>
                      <w:i w:val="0"/>
                      <w:iCs w:val="0"/>
                      <w:color w:val="auto"/>
                      <w:kern w:val="0"/>
                      <w:sz w:val="21"/>
                      <w:szCs w:val="21"/>
                      <w:u w:val="none"/>
                      <w:lang w:val="en-US" w:eastAsia="zh-CN" w:bidi="ar"/>
                    </w:rPr>
                    <w:t>高烟筒排放</w:t>
                  </w:r>
                </w:p>
              </w:tc>
              <w:tc>
                <w:tcPr>
                  <w:tcW w:w="58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dxa"/>
                  <w:vMerge w:val="restart"/>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物料衡算法</w:t>
                  </w:r>
                </w:p>
              </w:tc>
              <w:tc>
                <w:tcPr>
                  <w:tcW w:w="725" w:type="dxa"/>
                  <w:vMerge w:val="restart"/>
                  <w:noWrap w:val="0"/>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3646 </w:t>
                  </w:r>
                </w:p>
              </w:tc>
              <w:tc>
                <w:tcPr>
                  <w:tcW w:w="8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89.471 </w:t>
                  </w:r>
                </w:p>
              </w:tc>
              <w:tc>
                <w:tcPr>
                  <w:tcW w:w="7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542" w:type="dxa"/>
                  <w:vMerge w:val="restar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43" w:type="dxa"/>
                  <w:vMerge w:val="continue"/>
                  <w:noWrap w:val="0"/>
                  <w:vAlign w:val="center"/>
                </w:tcPr>
                <w:p>
                  <w:pPr>
                    <w:jc w:val="center"/>
                    <w:rPr>
                      <w:color w:val="auto"/>
                      <w:szCs w:val="21"/>
                    </w:rPr>
                  </w:pPr>
                </w:p>
              </w:tc>
              <w:tc>
                <w:tcPr>
                  <w:tcW w:w="344" w:type="dxa"/>
                  <w:vMerge w:val="continue"/>
                  <w:noWrap w:val="0"/>
                  <w:vAlign w:val="center"/>
                </w:tcPr>
                <w:p>
                  <w:pPr>
                    <w:jc w:val="center"/>
                    <w:rPr>
                      <w:rFonts w:hint="eastAsia"/>
                      <w:color w:val="auto"/>
                      <w:szCs w:val="21"/>
                    </w:rPr>
                  </w:pPr>
                </w:p>
              </w:tc>
              <w:tc>
                <w:tcPr>
                  <w:tcW w:w="601" w:type="dxa"/>
                  <w:vMerge w:val="continue"/>
                  <w:noWrap w:val="0"/>
                  <w:vAlign w:val="center"/>
                </w:tcPr>
                <w:p>
                  <w:pPr>
                    <w:jc w:val="center"/>
                    <w:rPr>
                      <w:color w:val="auto"/>
                      <w:szCs w:val="21"/>
                    </w:rPr>
                  </w:pPr>
                </w:p>
              </w:tc>
              <w:tc>
                <w:tcPr>
                  <w:tcW w:w="344" w:type="dxa"/>
                  <w:noWrap w:val="0"/>
                  <w:vAlign w:val="center"/>
                </w:tcPr>
                <w:p>
                  <w:pPr>
                    <w:keepNext w:val="0"/>
                    <w:keepLines w:val="0"/>
                    <w:widowControl/>
                    <w:suppressLineNumbers w:val="0"/>
                    <w:jc w:val="center"/>
                    <w:textAlignment w:val="center"/>
                    <w:rPr>
                      <w:rFonts w:hint="eastAsia"/>
                      <w:color w:val="auto"/>
                      <w:szCs w:val="21"/>
                    </w:rPr>
                  </w:pPr>
                  <w:r>
                    <w:rPr>
                      <w:rFonts w:hint="eastAsia" w:ascii="宋体" w:hAnsi="宋体" w:eastAsia="宋体" w:cs="宋体"/>
                      <w:i w:val="0"/>
                      <w:iCs w:val="0"/>
                      <w:color w:val="auto"/>
                      <w:kern w:val="0"/>
                      <w:sz w:val="21"/>
                      <w:szCs w:val="21"/>
                      <w:u w:val="none"/>
                      <w:lang w:val="en-US" w:eastAsia="zh-CN" w:bidi="ar"/>
                    </w:rPr>
                    <w:t>氮氧化物</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126.000 </w:t>
                  </w:r>
                </w:p>
              </w:tc>
              <w:tc>
                <w:tcPr>
                  <w:tcW w:w="7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476" w:type="dxa"/>
                  <w:vMerge w:val="continue"/>
                  <w:noWrap w:val="0"/>
                  <w:vAlign w:val="center"/>
                </w:tcPr>
                <w:p>
                  <w:pPr>
                    <w:jc w:val="center"/>
                    <w:rPr>
                      <w:rFonts w:hint="eastAsia"/>
                      <w:color w:val="auto"/>
                      <w:szCs w:val="21"/>
                    </w:rPr>
                  </w:pPr>
                </w:p>
              </w:tc>
              <w:tc>
                <w:tcPr>
                  <w:tcW w:w="588" w:type="dxa"/>
                  <w:noWrap w:val="0"/>
                  <w:vAlign w:val="center"/>
                </w:tcPr>
                <w:p>
                  <w:pPr>
                    <w:keepNext w:val="0"/>
                    <w:keepLines w:val="0"/>
                    <w:widowControl/>
                    <w:suppressLineNumbers w:val="0"/>
                    <w:jc w:val="center"/>
                    <w:textAlignment w:val="center"/>
                    <w:rPr>
                      <w:rFonts w:hint="eastAsia"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126.000 </w:t>
                  </w:r>
                </w:p>
              </w:tc>
              <w:tc>
                <w:tcPr>
                  <w:tcW w:w="71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542" w:type="dxa"/>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43" w:type="dxa"/>
                  <w:vMerge w:val="continue"/>
                  <w:noWrap w:val="0"/>
                  <w:vAlign w:val="center"/>
                </w:tcPr>
                <w:p>
                  <w:pPr>
                    <w:jc w:val="center"/>
                    <w:rPr>
                      <w:color w:val="auto"/>
                      <w:szCs w:val="21"/>
                    </w:rPr>
                  </w:pPr>
                </w:p>
              </w:tc>
              <w:tc>
                <w:tcPr>
                  <w:tcW w:w="344" w:type="dxa"/>
                  <w:vMerge w:val="continue"/>
                  <w:noWrap w:val="0"/>
                  <w:vAlign w:val="center"/>
                </w:tcPr>
                <w:p>
                  <w:pPr>
                    <w:jc w:val="center"/>
                    <w:rPr>
                      <w:rFonts w:hint="eastAsia"/>
                      <w:color w:val="auto"/>
                      <w:szCs w:val="21"/>
                    </w:rPr>
                  </w:pPr>
                </w:p>
              </w:tc>
              <w:tc>
                <w:tcPr>
                  <w:tcW w:w="601" w:type="dxa"/>
                  <w:vMerge w:val="continue"/>
                  <w:noWrap w:val="0"/>
                  <w:vAlign w:val="center"/>
                </w:tcPr>
                <w:p>
                  <w:pPr>
                    <w:jc w:val="center"/>
                    <w:rPr>
                      <w:color w:val="auto"/>
                      <w:szCs w:val="21"/>
                    </w:rPr>
                  </w:pPr>
                </w:p>
              </w:tc>
              <w:tc>
                <w:tcPr>
                  <w:tcW w:w="344" w:type="dxa"/>
                  <w:noWrap w:val="0"/>
                  <w:vAlign w:val="center"/>
                </w:tcPr>
                <w:p>
                  <w:pPr>
                    <w:keepNext w:val="0"/>
                    <w:keepLines w:val="0"/>
                    <w:widowControl/>
                    <w:suppressLineNumbers w:val="0"/>
                    <w:jc w:val="center"/>
                    <w:textAlignment w:val="center"/>
                    <w:rPr>
                      <w:rFonts w:hint="eastAsia"/>
                      <w:color w:val="auto"/>
                      <w:szCs w:val="21"/>
                    </w:rPr>
                  </w:pPr>
                  <w:r>
                    <w:rPr>
                      <w:rFonts w:hint="eastAsia" w:ascii="宋体" w:hAnsi="宋体" w:eastAsia="宋体" w:cs="宋体"/>
                      <w:i w:val="0"/>
                      <w:iCs w:val="0"/>
                      <w:color w:val="auto"/>
                      <w:kern w:val="0"/>
                      <w:sz w:val="21"/>
                      <w:szCs w:val="21"/>
                      <w:u w:val="none"/>
                      <w:lang w:val="en-US" w:eastAsia="zh-CN" w:bidi="ar"/>
                    </w:rPr>
                    <w:t>颗粒物</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14094.467 </w:t>
                  </w:r>
                </w:p>
              </w:tc>
              <w:tc>
                <w:tcPr>
                  <w:tcW w:w="713"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51.391 </w:t>
                  </w:r>
                </w:p>
              </w:tc>
              <w:tc>
                <w:tcPr>
                  <w:tcW w:w="476" w:type="dxa"/>
                  <w:vMerge w:val="continue"/>
                  <w:noWrap w:val="0"/>
                  <w:vAlign w:val="center"/>
                </w:tcPr>
                <w:p>
                  <w:pPr>
                    <w:jc w:val="center"/>
                    <w:rPr>
                      <w:rFonts w:hint="eastAsia"/>
                      <w:color w:val="auto"/>
                      <w:szCs w:val="21"/>
                    </w:rPr>
                  </w:pPr>
                </w:p>
              </w:tc>
              <w:tc>
                <w:tcPr>
                  <w:tcW w:w="58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99.7</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42.283 </w:t>
                  </w:r>
                </w:p>
              </w:tc>
              <w:tc>
                <w:tcPr>
                  <w:tcW w:w="71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542" w:type="dxa"/>
                  <w:vMerge w:val="continue"/>
                  <w:noWrap w:val="0"/>
                  <w:vAlign w:val="center"/>
                </w:tcPr>
                <w:p>
                  <w:pPr>
                    <w:jc w:val="center"/>
                    <w:rPr>
                      <w:color w:val="auto"/>
                      <w:szCs w:val="21"/>
                    </w:rPr>
                  </w:pPr>
                </w:p>
              </w:tc>
            </w:tr>
          </w:tbl>
          <w:p>
            <w:pPr>
              <w:ind w:firstLine="424" w:firstLineChars="176"/>
              <w:jc w:val="center"/>
              <w:rPr>
                <w:b/>
                <w:bCs/>
                <w:color w:val="auto"/>
                <w:kern w:val="0"/>
                <w:sz w:val="24"/>
                <w:szCs w:val="24"/>
              </w:rPr>
            </w:pPr>
            <w:r>
              <w:rPr>
                <w:b/>
                <w:bCs/>
                <w:color w:val="auto"/>
                <w:kern w:val="0"/>
                <w:sz w:val="24"/>
                <w:szCs w:val="24"/>
              </w:rPr>
              <w:t>表</w:t>
            </w:r>
            <w:r>
              <w:rPr>
                <w:rFonts w:hint="eastAsia"/>
                <w:b/>
                <w:color w:val="auto"/>
                <w:sz w:val="24"/>
                <w:szCs w:val="24"/>
              </w:rPr>
              <w:t>4-</w:t>
            </w:r>
            <w:r>
              <w:rPr>
                <w:b/>
                <w:color w:val="auto"/>
                <w:sz w:val="24"/>
                <w:szCs w:val="24"/>
              </w:rPr>
              <w:t>3</w:t>
            </w:r>
            <w:r>
              <w:rPr>
                <w:rFonts w:hint="eastAsia"/>
                <w:b/>
                <w:color w:val="auto"/>
                <w:sz w:val="24"/>
                <w:szCs w:val="24"/>
              </w:rPr>
              <w:t xml:space="preserve"> </w:t>
            </w:r>
            <w:r>
              <w:rPr>
                <w:b/>
                <w:bCs/>
                <w:color w:val="auto"/>
                <w:kern w:val="0"/>
                <w:sz w:val="24"/>
                <w:szCs w:val="24"/>
              </w:rPr>
              <w:t xml:space="preserve"> </w:t>
            </w:r>
            <w:r>
              <w:rPr>
                <w:rFonts w:hint="eastAsia"/>
                <w:b/>
                <w:bCs/>
                <w:color w:val="auto"/>
                <w:kern w:val="0"/>
                <w:sz w:val="24"/>
                <w:szCs w:val="24"/>
              </w:rPr>
              <w:t>排放口基本情况表</w:t>
            </w:r>
          </w:p>
          <w:tbl>
            <w:tblPr>
              <w:tblStyle w:val="30"/>
              <w:tblW w:w="845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238"/>
              <w:gridCol w:w="710"/>
              <w:gridCol w:w="793"/>
              <w:gridCol w:w="975"/>
              <w:gridCol w:w="735"/>
              <w:gridCol w:w="839"/>
              <w:gridCol w:w="1413"/>
              <w:gridCol w:w="13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440" w:type="dxa"/>
                  <w:vMerge w:val="restart"/>
                  <w:noWrap w:val="0"/>
                  <w:vAlign w:val="center"/>
                </w:tcPr>
                <w:p>
                  <w:pPr>
                    <w:jc w:val="center"/>
                    <w:rPr>
                      <w:bCs/>
                      <w:color w:val="auto"/>
                      <w:kern w:val="0"/>
                      <w:szCs w:val="21"/>
                    </w:rPr>
                  </w:pPr>
                  <w:r>
                    <w:rPr>
                      <w:rFonts w:hint="eastAsia"/>
                      <w:bCs/>
                      <w:color w:val="auto"/>
                      <w:kern w:val="0"/>
                      <w:szCs w:val="21"/>
                    </w:rPr>
                    <w:t>序号</w:t>
                  </w:r>
                </w:p>
              </w:tc>
              <w:tc>
                <w:tcPr>
                  <w:tcW w:w="1238" w:type="dxa"/>
                  <w:vMerge w:val="restart"/>
                  <w:noWrap w:val="0"/>
                  <w:vAlign w:val="center"/>
                </w:tcPr>
                <w:p>
                  <w:pPr>
                    <w:jc w:val="center"/>
                    <w:rPr>
                      <w:rFonts w:hint="eastAsia"/>
                      <w:bCs/>
                      <w:color w:val="auto"/>
                      <w:kern w:val="0"/>
                      <w:szCs w:val="21"/>
                    </w:rPr>
                  </w:pPr>
                  <w:r>
                    <w:rPr>
                      <w:rFonts w:hint="eastAsia"/>
                      <w:bCs/>
                      <w:color w:val="auto"/>
                      <w:kern w:val="0"/>
                      <w:szCs w:val="21"/>
                    </w:rPr>
                    <w:t>编号及名称</w:t>
                  </w:r>
                </w:p>
              </w:tc>
              <w:tc>
                <w:tcPr>
                  <w:tcW w:w="710" w:type="dxa"/>
                  <w:vMerge w:val="restart"/>
                  <w:noWrap w:val="0"/>
                  <w:vAlign w:val="center"/>
                </w:tcPr>
                <w:p>
                  <w:pPr>
                    <w:jc w:val="center"/>
                    <w:rPr>
                      <w:rFonts w:hint="eastAsia"/>
                      <w:bCs/>
                      <w:color w:val="auto"/>
                      <w:kern w:val="0"/>
                      <w:szCs w:val="21"/>
                    </w:rPr>
                  </w:pPr>
                  <w:r>
                    <w:rPr>
                      <w:rFonts w:hint="eastAsia"/>
                      <w:bCs/>
                      <w:color w:val="auto"/>
                      <w:kern w:val="0"/>
                      <w:szCs w:val="21"/>
                    </w:rPr>
                    <w:t>类型</w:t>
                  </w:r>
                </w:p>
              </w:tc>
              <w:tc>
                <w:tcPr>
                  <w:tcW w:w="793" w:type="dxa"/>
                  <w:vMerge w:val="restart"/>
                  <w:noWrap w:val="0"/>
                  <w:vAlign w:val="center"/>
                </w:tcPr>
                <w:p>
                  <w:pPr>
                    <w:jc w:val="center"/>
                    <w:rPr>
                      <w:bCs/>
                      <w:color w:val="auto"/>
                      <w:kern w:val="0"/>
                      <w:szCs w:val="21"/>
                    </w:rPr>
                  </w:pPr>
                  <w:r>
                    <w:rPr>
                      <w:rFonts w:hint="eastAsia"/>
                      <w:bCs/>
                      <w:color w:val="auto"/>
                      <w:kern w:val="0"/>
                      <w:szCs w:val="21"/>
                    </w:rPr>
                    <w:t>高度（m）</w:t>
                  </w:r>
                </w:p>
              </w:tc>
              <w:tc>
                <w:tcPr>
                  <w:tcW w:w="975" w:type="dxa"/>
                  <w:vMerge w:val="restart"/>
                  <w:noWrap w:val="0"/>
                  <w:vAlign w:val="center"/>
                </w:tcPr>
                <w:p>
                  <w:pPr>
                    <w:jc w:val="center"/>
                    <w:rPr>
                      <w:rFonts w:hint="eastAsia"/>
                      <w:bCs/>
                      <w:color w:val="auto"/>
                      <w:kern w:val="0"/>
                      <w:szCs w:val="21"/>
                    </w:rPr>
                  </w:pPr>
                  <w:r>
                    <w:rPr>
                      <w:rFonts w:hint="eastAsia"/>
                      <w:bCs/>
                      <w:color w:val="auto"/>
                      <w:kern w:val="0"/>
                      <w:szCs w:val="21"/>
                    </w:rPr>
                    <w:t>排气筒内径（m）</w:t>
                  </w:r>
                </w:p>
              </w:tc>
              <w:tc>
                <w:tcPr>
                  <w:tcW w:w="735" w:type="dxa"/>
                  <w:vMerge w:val="restart"/>
                  <w:noWrap w:val="0"/>
                  <w:vAlign w:val="center"/>
                </w:tcPr>
                <w:p>
                  <w:pPr>
                    <w:jc w:val="center"/>
                    <w:rPr>
                      <w:bCs/>
                      <w:color w:val="auto"/>
                      <w:kern w:val="0"/>
                      <w:szCs w:val="21"/>
                    </w:rPr>
                  </w:pPr>
                  <w:r>
                    <w:rPr>
                      <w:rFonts w:hint="eastAsia"/>
                      <w:bCs/>
                      <w:color w:val="auto"/>
                      <w:kern w:val="0"/>
                      <w:szCs w:val="21"/>
                    </w:rPr>
                    <w:t>污染物</w:t>
                  </w:r>
                </w:p>
              </w:tc>
              <w:tc>
                <w:tcPr>
                  <w:tcW w:w="839" w:type="dxa"/>
                  <w:vMerge w:val="restart"/>
                  <w:noWrap w:val="0"/>
                  <w:vAlign w:val="center"/>
                </w:tcPr>
                <w:p>
                  <w:pPr>
                    <w:jc w:val="center"/>
                    <w:rPr>
                      <w:rFonts w:hint="eastAsia"/>
                      <w:bCs/>
                      <w:color w:val="auto"/>
                      <w:kern w:val="0"/>
                      <w:szCs w:val="21"/>
                    </w:rPr>
                  </w:pPr>
                  <w:r>
                    <w:rPr>
                      <w:rFonts w:hint="eastAsia"/>
                      <w:bCs/>
                      <w:color w:val="auto"/>
                      <w:kern w:val="0"/>
                      <w:szCs w:val="21"/>
                    </w:rPr>
                    <w:t>温度（</w:t>
                  </w:r>
                  <w:r>
                    <w:rPr>
                      <w:rFonts w:hint="eastAsia"/>
                      <w:color w:val="auto"/>
                    </w:rPr>
                    <w:t>℃</w:t>
                  </w:r>
                  <w:r>
                    <w:rPr>
                      <w:rFonts w:hint="eastAsia"/>
                      <w:bCs/>
                      <w:color w:val="auto"/>
                      <w:kern w:val="0"/>
                      <w:szCs w:val="21"/>
                    </w:rPr>
                    <w:t>）</w:t>
                  </w:r>
                </w:p>
              </w:tc>
              <w:tc>
                <w:tcPr>
                  <w:tcW w:w="2723" w:type="dxa"/>
                  <w:gridSpan w:val="2"/>
                  <w:noWrap w:val="0"/>
                  <w:vAlign w:val="center"/>
                </w:tcPr>
                <w:p>
                  <w:pPr>
                    <w:jc w:val="center"/>
                    <w:rPr>
                      <w:rFonts w:hint="eastAsia"/>
                      <w:bCs/>
                      <w:color w:val="auto"/>
                      <w:kern w:val="0"/>
                      <w:szCs w:val="21"/>
                    </w:rPr>
                  </w:pPr>
                  <w:r>
                    <w:rPr>
                      <w:rFonts w:hint="eastAsia"/>
                      <w:bCs/>
                      <w:color w:val="auto"/>
                      <w:kern w:val="0"/>
                      <w:szCs w:val="21"/>
                    </w:rPr>
                    <w:t>地理坐标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440" w:type="dxa"/>
                  <w:vMerge w:val="continue"/>
                  <w:noWrap w:val="0"/>
                  <w:vAlign w:val="center"/>
                </w:tcPr>
                <w:p>
                  <w:pPr>
                    <w:jc w:val="center"/>
                    <w:rPr>
                      <w:color w:val="auto"/>
                    </w:rPr>
                  </w:pPr>
                </w:p>
              </w:tc>
              <w:tc>
                <w:tcPr>
                  <w:tcW w:w="1238" w:type="dxa"/>
                  <w:vMerge w:val="continue"/>
                  <w:noWrap w:val="0"/>
                  <w:vAlign w:val="center"/>
                </w:tcPr>
                <w:p>
                  <w:pPr>
                    <w:jc w:val="center"/>
                    <w:rPr>
                      <w:color w:val="auto"/>
                    </w:rPr>
                  </w:pPr>
                </w:p>
              </w:tc>
              <w:tc>
                <w:tcPr>
                  <w:tcW w:w="710" w:type="dxa"/>
                  <w:vMerge w:val="continue"/>
                  <w:noWrap w:val="0"/>
                  <w:vAlign w:val="center"/>
                </w:tcPr>
                <w:p>
                  <w:pPr>
                    <w:jc w:val="center"/>
                    <w:rPr>
                      <w:color w:val="auto"/>
                    </w:rPr>
                  </w:pPr>
                </w:p>
              </w:tc>
              <w:tc>
                <w:tcPr>
                  <w:tcW w:w="793" w:type="dxa"/>
                  <w:vMerge w:val="continue"/>
                  <w:noWrap w:val="0"/>
                  <w:vAlign w:val="center"/>
                </w:tcPr>
                <w:p>
                  <w:pPr>
                    <w:jc w:val="center"/>
                    <w:rPr>
                      <w:color w:val="auto"/>
                    </w:rPr>
                  </w:pPr>
                </w:p>
              </w:tc>
              <w:tc>
                <w:tcPr>
                  <w:tcW w:w="975" w:type="dxa"/>
                  <w:vMerge w:val="continue"/>
                  <w:noWrap w:val="0"/>
                  <w:vAlign w:val="center"/>
                </w:tcPr>
                <w:p>
                  <w:pPr>
                    <w:jc w:val="center"/>
                    <w:rPr>
                      <w:color w:val="auto"/>
                    </w:rPr>
                  </w:pPr>
                </w:p>
              </w:tc>
              <w:tc>
                <w:tcPr>
                  <w:tcW w:w="735" w:type="dxa"/>
                  <w:vMerge w:val="continue"/>
                  <w:noWrap w:val="0"/>
                  <w:vAlign w:val="center"/>
                </w:tcPr>
                <w:p>
                  <w:pPr>
                    <w:jc w:val="center"/>
                    <w:rPr>
                      <w:color w:val="auto"/>
                    </w:rPr>
                  </w:pPr>
                </w:p>
              </w:tc>
              <w:tc>
                <w:tcPr>
                  <w:tcW w:w="839" w:type="dxa"/>
                  <w:vMerge w:val="continue"/>
                  <w:noWrap w:val="0"/>
                  <w:vAlign w:val="center"/>
                </w:tcPr>
                <w:p>
                  <w:pPr>
                    <w:jc w:val="center"/>
                    <w:rPr>
                      <w:color w:val="auto"/>
                    </w:rPr>
                  </w:pPr>
                </w:p>
              </w:tc>
              <w:tc>
                <w:tcPr>
                  <w:tcW w:w="1413" w:type="dxa"/>
                  <w:noWrap w:val="0"/>
                  <w:vAlign w:val="center"/>
                </w:tcPr>
                <w:p>
                  <w:pPr>
                    <w:jc w:val="center"/>
                    <w:rPr>
                      <w:rFonts w:hint="eastAsia"/>
                      <w:bCs/>
                      <w:color w:val="auto"/>
                      <w:kern w:val="0"/>
                      <w:szCs w:val="21"/>
                    </w:rPr>
                  </w:pPr>
                  <w:r>
                    <w:rPr>
                      <w:rFonts w:hint="eastAsia"/>
                      <w:bCs/>
                      <w:color w:val="auto"/>
                      <w:kern w:val="0"/>
                      <w:szCs w:val="21"/>
                    </w:rPr>
                    <w:t>经度</w:t>
                  </w:r>
                </w:p>
              </w:tc>
              <w:tc>
                <w:tcPr>
                  <w:tcW w:w="1310" w:type="dxa"/>
                  <w:noWrap w:val="0"/>
                  <w:vAlign w:val="center"/>
                </w:tcPr>
                <w:p>
                  <w:pPr>
                    <w:jc w:val="center"/>
                    <w:rPr>
                      <w:rFonts w:hint="eastAsia"/>
                      <w:bCs/>
                      <w:color w:val="auto"/>
                      <w:kern w:val="0"/>
                      <w:szCs w:val="21"/>
                    </w:rPr>
                  </w:pPr>
                  <w:r>
                    <w:rPr>
                      <w:rFonts w:hint="eastAsia"/>
                      <w:bCs/>
                      <w:color w:val="auto"/>
                      <w:kern w:val="0"/>
                      <w:szCs w:val="21"/>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40" w:type="dxa"/>
                  <w:noWrap w:val="0"/>
                  <w:vAlign w:val="center"/>
                </w:tcPr>
                <w:p>
                  <w:pPr>
                    <w:jc w:val="center"/>
                    <w:rPr>
                      <w:color w:val="auto"/>
                      <w:kern w:val="0"/>
                      <w:szCs w:val="21"/>
                    </w:rPr>
                  </w:pPr>
                  <w:r>
                    <w:rPr>
                      <w:rFonts w:hint="eastAsia"/>
                      <w:color w:val="auto"/>
                      <w:kern w:val="0"/>
                      <w:szCs w:val="21"/>
                    </w:rPr>
                    <w:t>1</w:t>
                  </w:r>
                </w:p>
              </w:tc>
              <w:tc>
                <w:tcPr>
                  <w:tcW w:w="1238" w:type="dxa"/>
                  <w:noWrap w:val="0"/>
                  <w:vAlign w:val="center"/>
                </w:tcPr>
                <w:p>
                  <w:pPr>
                    <w:jc w:val="center"/>
                    <w:rPr>
                      <w:rFonts w:hint="eastAsia"/>
                      <w:color w:val="auto"/>
                      <w:kern w:val="0"/>
                      <w:szCs w:val="21"/>
                    </w:rPr>
                  </w:pPr>
                  <w:r>
                    <w:rPr>
                      <w:rFonts w:hint="eastAsia"/>
                      <w:color w:val="auto"/>
                      <w:kern w:val="0"/>
                      <w:szCs w:val="21"/>
                    </w:rPr>
                    <w:t>DA001</w:t>
                  </w:r>
                </w:p>
                <w:p>
                  <w:pPr>
                    <w:jc w:val="center"/>
                    <w:rPr>
                      <w:color w:val="auto"/>
                      <w:kern w:val="0"/>
                      <w:szCs w:val="21"/>
                    </w:rPr>
                  </w:pPr>
                  <w:r>
                    <w:rPr>
                      <w:rFonts w:hint="eastAsia"/>
                      <w:color w:val="auto"/>
                      <w:kern w:val="0"/>
                      <w:szCs w:val="21"/>
                    </w:rPr>
                    <w:t>烟囱</w:t>
                  </w:r>
                </w:p>
              </w:tc>
              <w:tc>
                <w:tcPr>
                  <w:tcW w:w="710" w:type="dxa"/>
                  <w:noWrap w:val="0"/>
                  <w:vAlign w:val="center"/>
                </w:tcPr>
                <w:p>
                  <w:pPr>
                    <w:jc w:val="center"/>
                    <w:rPr>
                      <w:rFonts w:hint="eastAsia"/>
                      <w:color w:val="auto"/>
                      <w:kern w:val="0"/>
                      <w:szCs w:val="21"/>
                    </w:rPr>
                  </w:pPr>
                  <w:r>
                    <w:rPr>
                      <w:rFonts w:hint="eastAsia"/>
                      <w:color w:val="auto"/>
                      <w:kern w:val="0"/>
                      <w:szCs w:val="21"/>
                    </w:rPr>
                    <w:t>一般排放口</w:t>
                  </w:r>
                </w:p>
              </w:tc>
              <w:tc>
                <w:tcPr>
                  <w:tcW w:w="793" w:type="dxa"/>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30</w:t>
                  </w:r>
                </w:p>
              </w:tc>
              <w:tc>
                <w:tcPr>
                  <w:tcW w:w="975" w:type="dxa"/>
                  <w:noWrap w:val="0"/>
                  <w:vAlign w:val="center"/>
                </w:tcPr>
                <w:p>
                  <w:pPr>
                    <w:jc w:val="center"/>
                    <w:rPr>
                      <w:color w:val="auto"/>
                      <w:kern w:val="0"/>
                      <w:szCs w:val="21"/>
                    </w:rPr>
                  </w:pPr>
                  <w:r>
                    <w:rPr>
                      <w:rFonts w:hint="eastAsia"/>
                      <w:color w:val="auto"/>
                      <w:kern w:val="0"/>
                      <w:szCs w:val="21"/>
                    </w:rPr>
                    <w:t>0.</w:t>
                  </w:r>
                  <w:r>
                    <w:rPr>
                      <w:color w:val="auto"/>
                      <w:kern w:val="0"/>
                      <w:szCs w:val="21"/>
                    </w:rPr>
                    <w:t>8</w:t>
                  </w:r>
                </w:p>
              </w:tc>
              <w:tc>
                <w:tcPr>
                  <w:tcW w:w="735" w:type="dxa"/>
                  <w:noWrap w:val="0"/>
                  <w:vAlign w:val="center"/>
                </w:tcPr>
                <w:p>
                  <w:pPr>
                    <w:jc w:val="center"/>
                    <w:rPr>
                      <w:rFonts w:hint="eastAsia"/>
                      <w:color w:val="auto"/>
                    </w:rPr>
                  </w:pPr>
                  <w:r>
                    <w:rPr>
                      <w:rFonts w:hint="eastAsia"/>
                      <w:color w:val="auto"/>
                      <w:kern w:val="0"/>
                      <w:szCs w:val="21"/>
                    </w:rPr>
                    <w:t>颗粒物</w:t>
                  </w:r>
                  <w:r>
                    <w:rPr>
                      <w:color w:val="auto"/>
                      <w:kern w:val="0"/>
                      <w:szCs w:val="21"/>
                    </w:rPr>
                    <w:t>、二氧化硫、</w:t>
                  </w:r>
                  <w:r>
                    <w:rPr>
                      <w:rFonts w:hint="eastAsia"/>
                      <w:color w:val="auto"/>
                      <w:kern w:val="0"/>
                      <w:szCs w:val="21"/>
                    </w:rPr>
                    <w:t>氮氧化物、林格曼黑度</w:t>
                  </w:r>
                </w:p>
              </w:tc>
              <w:tc>
                <w:tcPr>
                  <w:tcW w:w="839" w:type="dxa"/>
                  <w:noWrap w:val="0"/>
                  <w:vAlign w:val="center"/>
                </w:tcPr>
                <w:p>
                  <w:pPr>
                    <w:jc w:val="center"/>
                    <w:rPr>
                      <w:color w:val="auto"/>
                    </w:rPr>
                  </w:pPr>
                  <w:r>
                    <w:rPr>
                      <w:color w:val="auto"/>
                    </w:rPr>
                    <w:t>120</w:t>
                  </w:r>
                </w:p>
              </w:tc>
              <w:tc>
                <w:tcPr>
                  <w:tcW w:w="1413" w:type="dxa"/>
                  <w:noWrap w:val="0"/>
                  <w:vAlign w:val="center"/>
                </w:tcPr>
                <w:p>
                  <w:pPr>
                    <w:jc w:val="center"/>
                    <w:rPr>
                      <w:color w:val="auto"/>
                      <w:highlight w:val="none"/>
                    </w:rPr>
                  </w:pPr>
                  <w:r>
                    <w:rPr>
                      <w:rFonts w:hint="eastAsia"/>
                    </w:rPr>
                    <w:t>129.52372376</w:t>
                  </w:r>
                </w:p>
              </w:tc>
              <w:tc>
                <w:tcPr>
                  <w:tcW w:w="1310" w:type="dxa"/>
                  <w:noWrap w:val="0"/>
                  <w:vAlign w:val="center"/>
                </w:tcPr>
                <w:p>
                  <w:pPr>
                    <w:jc w:val="center"/>
                    <w:rPr>
                      <w:color w:val="auto"/>
                      <w:highlight w:val="none"/>
                    </w:rPr>
                  </w:pPr>
                  <w:r>
                    <w:rPr>
                      <w:rFonts w:hint="eastAsia"/>
                    </w:rPr>
                    <w:t>49.41208409</w:t>
                  </w:r>
                </w:p>
              </w:tc>
            </w:tr>
          </w:tbl>
          <w:p>
            <w:pPr>
              <w:pStyle w:val="120"/>
              <w:adjustRightInd w:val="0"/>
              <w:spacing w:line="336" w:lineRule="auto"/>
              <w:ind w:firstLine="480"/>
              <w:rPr>
                <w:color w:val="auto"/>
                <w:sz w:val="24"/>
              </w:rPr>
            </w:pPr>
            <w:r>
              <w:rPr>
                <w:rFonts w:hint="eastAsia"/>
                <w:color w:val="auto"/>
                <w:sz w:val="24"/>
              </w:rPr>
              <w:t>（2）非</w:t>
            </w:r>
            <w:r>
              <w:rPr>
                <w:color w:val="auto"/>
                <w:sz w:val="24"/>
              </w:rPr>
              <w:t>正常工况</w:t>
            </w:r>
          </w:p>
          <w:p>
            <w:pPr>
              <w:pStyle w:val="120"/>
              <w:adjustRightInd w:val="0"/>
              <w:spacing w:line="336" w:lineRule="auto"/>
              <w:ind w:firstLine="480"/>
              <w:rPr>
                <w:rFonts w:hint="eastAsia"/>
                <w:color w:val="auto"/>
                <w:sz w:val="24"/>
              </w:rPr>
            </w:pPr>
            <w:r>
              <w:rPr>
                <w:color w:val="auto"/>
                <w:sz w:val="24"/>
              </w:rPr>
              <w:t>本项目非正常工况设定情景如下：本项目非正常工况设定情景如下：</w:t>
            </w:r>
            <w:r>
              <w:rPr>
                <w:rFonts w:hint="eastAsia"/>
                <w:color w:val="auto"/>
                <w:sz w:val="24"/>
              </w:rPr>
              <w:t>锅炉</w:t>
            </w:r>
            <w:r>
              <w:rPr>
                <w:color w:val="auto"/>
                <w:sz w:val="24"/>
              </w:rPr>
              <w:t>布袋除尘器破损</w:t>
            </w:r>
            <w:r>
              <w:rPr>
                <w:rFonts w:hint="eastAsia"/>
                <w:color w:val="auto"/>
                <w:sz w:val="24"/>
              </w:rPr>
              <w:t>，</w:t>
            </w:r>
            <w:r>
              <w:rPr>
                <w:rFonts w:hint="eastAsia"/>
                <w:color w:val="auto"/>
                <w:sz w:val="24"/>
                <w:lang w:val="en-US" w:eastAsia="zh-CN"/>
              </w:rPr>
              <w:t>参考</w:t>
            </w:r>
            <w:r>
              <w:rPr>
                <w:color w:val="auto"/>
                <w:sz w:val="24"/>
                <w:szCs w:val="32"/>
              </w:rPr>
              <w:t>《排放源统计调查产排污核算方法和系数手册》</w:t>
            </w:r>
            <w:r>
              <w:rPr>
                <w:rFonts w:hint="eastAsia"/>
                <w:color w:val="auto"/>
                <w:sz w:val="24"/>
                <w:szCs w:val="32"/>
                <w:lang w:val="en-US" w:eastAsia="zh-CN"/>
              </w:rPr>
              <w:t>中</w:t>
            </w:r>
            <w:r>
              <w:rPr>
                <w:rFonts w:hint="eastAsia"/>
                <w:color w:val="auto"/>
                <w:sz w:val="24"/>
                <w:lang w:val="en-US" w:eastAsia="zh-CN"/>
              </w:rPr>
              <w:t>4430工业锅炉（热力生产和供应行业）产污系数表-生物质工业锅炉，旋风除尘法去除效率70%，仅旋风除尘器运行，</w:t>
            </w:r>
            <w:r>
              <w:rPr>
                <w:rFonts w:hint="eastAsia"/>
                <w:color w:val="auto"/>
                <w:sz w:val="24"/>
              </w:rPr>
              <w:t>去除效率降至</w:t>
            </w:r>
            <w:r>
              <w:rPr>
                <w:rFonts w:hint="eastAsia"/>
                <w:color w:val="auto"/>
                <w:sz w:val="24"/>
                <w:lang w:val="en-US" w:eastAsia="zh-CN"/>
              </w:rPr>
              <w:t>70</w:t>
            </w:r>
            <w:r>
              <w:rPr>
                <w:color w:val="auto"/>
                <w:sz w:val="24"/>
              </w:rPr>
              <w:t>%，本项目非正常情况排放污染物见下表</w:t>
            </w:r>
            <w:r>
              <w:rPr>
                <w:rFonts w:hint="eastAsia"/>
                <w:color w:val="auto"/>
                <w:sz w:val="24"/>
              </w:rPr>
              <w:t>4-</w:t>
            </w:r>
            <w:r>
              <w:rPr>
                <w:color w:val="auto"/>
                <w:sz w:val="24"/>
              </w:rPr>
              <w:t>4。</w:t>
            </w:r>
          </w:p>
          <w:p>
            <w:pPr>
              <w:ind w:firstLine="424" w:firstLineChars="176"/>
              <w:jc w:val="center"/>
              <w:rPr>
                <w:b/>
                <w:bCs/>
                <w:color w:val="auto"/>
                <w:kern w:val="0"/>
                <w:sz w:val="24"/>
                <w:szCs w:val="24"/>
              </w:rPr>
            </w:pPr>
            <w:r>
              <w:rPr>
                <w:b/>
                <w:bCs/>
                <w:color w:val="auto"/>
                <w:kern w:val="0"/>
                <w:sz w:val="24"/>
                <w:szCs w:val="24"/>
              </w:rPr>
              <w:t>表4-4  非正常工况下废气污染物产生及排放情况</w:t>
            </w:r>
          </w:p>
          <w:tbl>
            <w:tblPr>
              <w:tblStyle w:val="30"/>
              <w:tblW w:w="845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888"/>
              <w:gridCol w:w="1195"/>
              <w:gridCol w:w="998"/>
              <w:gridCol w:w="998"/>
              <w:gridCol w:w="1195"/>
              <w:gridCol w:w="920"/>
              <w:gridCol w:w="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338"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污染源</w:t>
                  </w:r>
                </w:p>
              </w:tc>
              <w:tc>
                <w:tcPr>
                  <w:tcW w:w="888"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污染物</w:t>
                  </w:r>
                </w:p>
              </w:tc>
              <w:tc>
                <w:tcPr>
                  <w:tcW w:w="1195"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产生速率</w:t>
                  </w:r>
                  <w:r>
                    <w:rPr>
                      <w:rFonts w:hint="eastAsia" w:eastAsia="宋体"/>
                      <w:color w:val="auto"/>
                      <w:sz w:val="21"/>
                      <w:szCs w:val="21"/>
                      <w:lang w:eastAsia="zh-CN"/>
                    </w:rPr>
                    <w:t>（</w:t>
                  </w:r>
                  <w:r>
                    <w:rPr>
                      <w:rFonts w:eastAsia="宋体"/>
                      <w:color w:val="auto"/>
                      <w:sz w:val="21"/>
                      <w:szCs w:val="21"/>
                    </w:rPr>
                    <w:t>kg/h</w:t>
                  </w:r>
                  <w:r>
                    <w:rPr>
                      <w:rFonts w:hint="eastAsia" w:eastAsia="宋体"/>
                      <w:color w:val="auto"/>
                      <w:sz w:val="21"/>
                      <w:szCs w:val="21"/>
                      <w:lang w:eastAsia="zh-CN"/>
                    </w:rPr>
                    <w:t>）</w:t>
                  </w:r>
                </w:p>
              </w:tc>
              <w:tc>
                <w:tcPr>
                  <w:tcW w:w="998"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hint="default" w:eastAsia="宋体"/>
                      <w:color w:val="auto"/>
                      <w:sz w:val="21"/>
                      <w:szCs w:val="21"/>
                      <w:lang w:val="en-US" w:eastAsia="zh-CN"/>
                    </w:rPr>
                  </w:pPr>
                  <w:r>
                    <w:rPr>
                      <w:rFonts w:hint="eastAsia" w:eastAsia="宋体"/>
                      <w:color w:val="auto"/>
                      <w:sz w:val="21"/>
                      <w:szCs w:val="21"/>
                      <w:lang w:val="en-US" w:eastAsia="zh-CN"/>
                    </w:rPr>
                    <w:t>产生浓度（</w:t>
                  </w:r>
                  <w:r>
                    <w:rPr>
                      <w:color w:val="auto"/>
                      <w:sz w:val="21"/>
                      <w:szCs w:val="21"/>
                    </w:rPr>
                    <w:t>mg/m</w:t>
                  </w:r>
                  <w:r>
                    <w:rPr>
                      <w:color w:val="auto"/>
                      <w:sz w:val="21"/>
                      <w:szCs w:val="21"/>
                      <w:vertAlign w:val="superscript"/>
                    </w:rPr>
                    <w:t>3</w:t>
                  </w:r>
                  <w:r>
                    <w:rPr>
                      <w:rFonts w:hint="eastAsia" w:eastAsia="宋体"/>
                      <w:color w:val="auto"/>
                      <w:sz w:val="21"/>
                      <w:szCs w:val="21"/>
                      <w:lang w:val="en-US" w:eastAsia="zh-CN"/>
                    </w:rPr>
                    <w:t>）</w:t>
                  </w:r>
                </w:p>
              </w:tc>
              <w:tc>
                <w:tcPr>
                  <w:tcW w:w="998"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非正常排放原因</w:t>
                  </w:r>
                </w:p>
              </w:tc>
              <w:tc>
                <w:tcPr>
                  <w:tcW w:w="1195"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排放速率</w:t>
                  </w:r>
                  <w:r>
                    <w:rPr>
                      <w:rFonts w:hint="eastAsia" w:eastAsia="宋体"/>
                      <w:color w:val="auto"/>
                      <w:sz w:val="21"/>
                      <w:szCs w:val="21"/>
                      <w:lang w:eastAsia="zh-CN"/>
                    </w:rPr>
                    <w:t>（</w:t>
                  </w:r>
                  <w:r>
                    <w:rPr>
                      <w:rFonts w:eastAsia="宋体"/>
                      <w:color w:val="auto"/>
                      <w:sz w:val="21"/>
                      <w:szCs w:val="21"/>
                    </w:rPr>
                    <w:t>kg/h</w:t>
                  </w:r>
                  <w:r>
                    <w:rPr>
                      <w:rFonts w:hint="eastAsia" w:eastAsia="宋体"/>
                      <w:color w:val="auto"/>
                      <w:sz w:val="21"/>
                      <w:szCs w:val="21"/>
                      <w:lang w:eastAsia="zh-CN"/>
                    </w:rPr>
                    <w:t>）</w:t>
                  </w:r>
                </w:p>
              </w:tc>
              <w:tc>
                <w:tcPr>
                  <w:tcW w:w="920"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hint="eastAsia" w:eastAsia="宋体"/>
                      <w:color w:val="auto"/>
                      <w:sz w:val="21"/>
                      <w:szCs w:val="21"/>
                      <w:lang w:val="en-US" w:eastAsia="zh-CN"/>
                    </w:rPr>
                  </w:pPr>
                  <w:r>
                    <w:rPr>
                      <w:rFonts w:hint="eastAsia" w:eastAsia="宋体"/>
                      <w:color w:val="auto"/>
                      <w:sz w:val="21"/>
                      <w:szCs w:val="21"/>
                      <w:lang w:val="en-US" w:eastAsia="zh-CN"/>
                    </w:rPr>
                    <w:t>排放浓度（</w:t>
                  </w:r>
                  <w:r>
                    <w:rPr>
                      <w:color w:val="auto"/>
                      <w:sz w:val="21"/>
                      <w:szCs w:val="21"/>
                    </w:rPr>
                    <w:t>mg/m</w:t>
                  </w:r>
                  <w:r>
                    <w:rPr>
                      <w:color w:val="auto"/>
                      <w:sz w:val="21"/>
                      <w:szCs w:val="21"/>
                      <w:vertAlign w:val="superscript"/>
                    </w:rPr>
                    <w:t>3</w:t>
                  </w:r>
                  <w:r>
                    <w:rPr>
                      <w:rFonts w:hint="eastAsia" w:eastAsia="宋体"/>
                      <w:color w:val="auto"/>
                      <w:sz w:val="21"/>
                      <w:szCs w:val="21"/>
                      <w:lang w:val="en-US" w:eastAsia="zh-CN"/>
                    </w:rPr>
                    <w:t>）</w:t>
                  </w:r>
                </w:p>
              </w:tc>
              <w:tc>
                <w:tcPr>
                  <w:tcW w:w="921" w:type="dxa"/>
                  <w:noWrap w:val="0"/>
                  <w:vAlign w:val="center"/>
                </w:tcPr>
                <w:p>
                  <w:pPr>
                    <w:pStyle w:val="122"/>
                    <w:widowControl w:val="0"/>
                    <w:adjustRightInd w:val="0"/>
                    <w:spacing w:line="240" w:lineRule="auto"/>
                    <w:rPr>
                      <w:rFonts w:eastAsia="宋体"/>
                      <w:color w:val="auto"/>
                      <w:sz w:val="21"/>
                      <w:szCs w:val="21"/>
                    </w:rPr>
                  </w:pPr>
                  <w:r>
                    <w:rPr>
                      <w:rFonts w:eastAsia="宋体"/>
                      <w:color w:val="auto"/>
                      <w:sz w:val="21"/>
                      <w:szCs w:val="21"/>
                    </w:rPr>
                    <w:t>单次持续时间</w:t>
                  </w:r>
                  <w:r>
                    <w:rPr>
                      <w:rFonts w:hint="eastAsia" w:eastAsia="宋体"/>
                      <w:color w:val="auto"/>
                      <w:sz w:val="21"/>
                      <w:szCs w:val="21"/>
                      <w:lang w:eastAsia="zh-CN"/>
                    </w:rPr>
                    <w:t>（</w:t>
                  </w:r>
                  <w:r>
                    <w:rPr>
                      <w:rFonts w:eastAsia="宋体"/>
                      <w:color w:val="auto"/>
                      <w:sz w:val="21"/>
                      <w:szCs w:val="21"/>
                    </w:rPr>
                    <w:t>h</w:t>
                  </w:r>
                  <w:r>
                    <w:rPr>
                      <w:rFonts w:hint="eastAsia" w:eastAsia="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338" w:type="dxa"/>
                  <w:vMerge w:val="restart"/>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燃生物质锅炉</w:t>
                  </w:r>
                </w:p>
              </w:tc>
              <w:tc>
                <w:tcPr>
                  <w:tcW w:w="888"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SO</w:t>
                  </w:r>
                  <w:r>
                    <w:rPr>
                      <w:rFonts w:eastAsia="宋体"/>
                      <w:color w:val="auto"/>
                      <w:sz w:val="21"/>
                      <w:szCs w:val="21"/>
                      <w:vertAlign w:val="subscript"/>
                    </w:rPr>
                    <w:t>2</w:t>
                  </w:r>
                </w:p>
              </w:tc>
              <w:tc>
                <w:tcPr>
                  <w:tcW w:w="1195"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9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89.471 </w:t>
                  </w:r>
                </w:p>
              </w:tc>
              <w:tc>
                <w:tcPr>
                  <w:tcW w:w="998" w:type="dxa"/>
                  <w:vMerge w:val="restart"/>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hint="default" w:eastAsia="宋体"/>
                      <w:color w:val="auto"/>
                      <w:sz w:val="21"/>
                      <w:szCs w:val="21"/>
                      <w:lang w:val="en-US" w:eastAsia="zh-CN"/>
                    </w:rPr>
                  </w:pPr>
                  <w:r>
                    <w:rPr>
                      <w:rFonts w:eastAsia="宋体"/>
                      <w:color w:val="auto"/>
                      <w:sz w:val="21"/>
                      <w:szCs w:val="21"/>
                    </w:rPr>
                    <w:t>布袋除尘器</w:t>
                  </w:r>
                  <w:r>
                    <w:rPr>
                      <w:rFonts w:hint="eastAsia" w:eastAsia="宋体"/>
                      <w:color w:val="auto"/>
                      <w:sz w:val="21"/>
                      <w:szCs w:val="21"/>
                      <w:lang w:val="en-US" w:eastAsia="zh-CN"/>
                    </w:rPr>
                    <w:t>破碎</w:t>
                  </w:r>
                </w:p>
              </w:tc>
              <w:tc>
                <w:tcPr>
                  <w:tcW w:w="1195"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9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89.471 </w:t>
                  </w:r>
                </w:p>
              </w:tc>
              <w:tc>
                <w:tcPr>
                  <w:tcW w:w="921" w:type="dxa"/>
                  <w:vMerge w:val="restart"/>
                  <w:noWrap w:val="0"/>
                  <w:vAlign w:val="center"/>
                </w:tcPr>
                <w:p>
                  <w:pPr>
                    <w:pStyle w:val="122"/>
                    <w:widowControl w:val="0"/>
                    <w:adjustRightInd w:val="0"/>
                    <w:spacing w:line="240" w:lineRule="auto"/>
                    <w:rPr>
                      <w:color w:val="auto"/>
                      <w:szCs w:val="24"/>
                    </w:rPr>
                  </w:pPr>
                  <w:r>
                    <w:rPr>
                      <w:rFonts w:hint="eastAsia" w:eastAsia="宋体"/>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4" w:hRule="exact"/>
              </w:trPr>
              <w:tc>
                <w:tcPr>
                  <w:tcW w:w="1338"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888"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NO</w:t>
                  </w:r>
                  <w:r>
                    <w:rPr>
                      <w:rFonts w:eastAsia="宋体"/>
                      <w:color w:val="auto"/>
                      <w:sz w:val="21"/>
                      <w:szCs w:val="21"/>
                      <w:vertAlign w:val="subscript"/>
                    </w:rPr>
                    <w:t>X</w:t>
                  </w:r>
                </w:p>
              </w:tc>
              <w:tc>
                <w:tcPr>
                  <w:tcW w:w="1195"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9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126.000 </w:t>
                  </w:r>
                </w:p>
              </w:tc>
              <w:tc>
                <w:tcPr>
                  <w:tcW w:w="998"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195"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92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126.000 </w:t>
                  </w:r>
                </w:p>
              </w:tc>
              <w:tc>
                <w:tcPr>
                  <w:tcW w:w="921" w:type="dxa"/>
                  <w:vMerge w:val="continue"/>
                  <w:noWrap w:val="0"/>
                  <w:vAlign w:val="center"/>
                </w:tcPr>
                <w:p>
                  <w:pPr>
                    <w:ind w:firstLine="48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338"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888"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颗粒物</w:t>
                  </w:r>
                </w:p>
              </w:tc>
              <w:tc>
                <w:tcPr>
                  <w:tcW w:w="1195"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51.391 </w:t>
                  </w:r>
                </w:p>
              </w:tc>
              <w:tc>
                <w:tcPr>
                  <w:tcW w:w="998"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14094.467 </w:t>
                  </w:r>
                </w:p>
              </w:tc>
              <w:tc>
                <w:tcPr>
                  <w:tcW w:w="998"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195"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color w:val="auto"/>
                      <w:sz w:val="21"/>
                      <w:szCs w:val="21"/>
                      <w:lang w:val="en-US" w:eastAsia="zh-CN"/>
                    </w:rPr>
                    <w:t>15.41</w:t>
                  </w:r>
                </w:p>
              </w:tc>
              <w:tc>
                <w:tcPr>
                  <w:tcW w:w="920" w:type="dxa"/>
                  <w:noWrap w:val="0"/>
                  <w:vAlign w:val="center"/>
                </w:tcPr>
                <w:p>
                  <w:pPr>
                    <w:keepNext w:val="0"/>
                    <w:keepLines w:val="0"/>
                    <w:widowControl/>
                    <w:suppressLineNumbers w:val="0"/>
                    <w:jc w:val="center"/>
                    <w:textAlignment w:val="center"/>
                    <w:rPr>
                      <w:rFonts w:hint="default"/>
                      <w:color w:val="auto"/>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4228.34</w:t>
                  </w:r>
                </w:p>
              </w:tc>
              <w:tc>
                <w:tcPr>
                  <w:tcW w:w="921" w:type="dxa"/>
                  <w:vMerge w:val="continue"/>
                  <w:noWrap w:val="0"/>
                  <w:vAlign w:val="center"/>
                </w:tcPr>
                <w:p>
                  <w:pPr>
                    <w:ind w:firstLine="480"/>
                    <w:jc w:val="center"/>
                    <w:rPr>
                      <w:color w:val="auto"/>
                    </w:rPr>
                  </w:pPr>
                </w:p>
              </w:tc>
            </w:tr>
          </w:tbl>
          <w:p>
            <w:pPr>
              <w:pStyle w:val="120"/>
              <w:adjustRightInd w:val="0"/>
              <w:spacing w:line="336" w:lineRule="auto"/>
              <w:ind w:firstLine="480"/>
              <w:rPr>
                <w:bCs/>
                <w:color w:val="auto"/>
                <w:sz w:val="24"/>
              </w:rPr>
            </w:pPr>
            <w:r>
              <w:rPr>
                <w:rFonts w:hint="eastAsia"/>
                <w:bCs/>
                <w:color w:val="auto"/>
                <w:sz w:val="24"/>
              </w:rPr>
              <w:t xml:space="preserve">2、监测计划 </w:t>
            </w:r>
          </w:p>
          <w:p>
            <w:pPr>
              <w:adjustRightInd w:val="0"/>
              <w:snapToGrid w:val="0"/>
              <w:spacing w:line="360" w:lineRule="auto"/>
              <w:ind w:firstLine="460" w:firstLineChars="200"/>
              <w:rPr>
                <w:rFonts w:hint="eastAsia"/>
                <w:color w:val="auto"/>
                <w:spacing w:val="-5"/>
                <w:sz w:val="24"/>
                <w:szCs w:val="21"/>
              </w:rPr>
            </w:pPr>
            <w:r>
              <w:rPr>
                <w:rFonts w:hint="eastAsia"/>
                <w:color w:val="auto"/>
                <w:spacing w:val="-5"/>
                <w:sz w:val="24"/>
                <w:szCs w:val="21"/>
              </w:rPr>
              <w:t>根据《排污单位自行监测技术指南 总则》（HJ819-2017）和</w:t>
            </w:r>
            <w:r>
              <w:rPr>
                <w:rFonts w:hint="eastAsia"/>
                <w:color w:val="auto"/>
                <w:kern w:val="0"/>
                <w:sz w:val="24"/>
              </w:rPr>
              <w:t>《</w:t>
            </w:r>
            <w:r>
              <w:rPr>
                <w:color w:val="auto"/>
                <w:kern w:val="0"/>
                <w:sz w:val="24"/>
              </w:rPr>
              <w:fldChar w:fldCharType="begin"/>
            </w:r>
            <w:r>
              <w:rPr>
                <w:color w:val="auto"/>
                <w:kern w:val="0"/>
                <w:sz w:val="24"/>
              </w:rPr>
              <w:instrText xml:space="preserve"> HYPERLINK "http://kjs.mep.gov.cn/hjbhbz/bzwb/shjbh/xgbzh/201705/W020170511332490849000.pdf" </w:instrText>
            </w:r>
            <w:r>
              <w:rPr>
                <w:color w:val="auto"/>
                <w:kern w:val="0"/>
                <w:sz w:val="24"/>
              </w:rPr>
              <w:fldChar w:fldCharType="separate"/>
            </w:r>
            <w:r>
              <w:rPr>
                <w:rFonts w:hint="eastAsia"/>
                <w:color w:val="auto"/>
                <w:kern w:val="0"/>
                <w:sz w:val="24"/>
              </w:rPr>
              <w:t>排污单位自行监测技术指南火力发电及锅炉》（</w:t>
            </w:r>
            <w:r>
              <w:rPr>
                <w:color w:val="auto"/>
                <w:kern w:val="0"/>
                <w:sz w:val="24"/>
              </w:rPr>
              <w:t>HJ</w:t>
            </w:r>
            <w:r>
              <w:rPr>
                <w:rFonts w:hint="eastAsia"/>
                <w:color w:val="auto"/>
                <w:kern w:val="0"/>
                <w:sz w:val="24"/>
              </w:rPr>
              <w:t>820-2017）</w:t>
            </w:r>
            <w:r>
              <w:rPr>
                <w:color w:val="auto"/>
                <w:kern w:val="0"/>
                <w:sz w:val="24"/>
              </w:rPr>
              <w:fldChar w:fldCharType="end"/>
            </w:r>
            <w:r>
              <w:rPr>
                <w:rFonts w:hint="eastAsia"/>
                <w:color w:val="auto"/>
                <w:spacing w:val="-5"/>
                <w:sz w:val="24"/>
                <w:szCs w:val="21"/>
              </w:rPr>
              <w:t>，并结合本项目的实际排污状况制定废气监测计划。</w:t>
            </w:r>
          </w:p>
          <w:p>
            <w:pPr>
              <w:ind w:firstLine="424" w:firstLineChars="176"/>
              <w:jc w:val="center"/>
              <w:rPr>
                <w:b/>
                <w:bCs/>
                <w:color w:val="auto"/>
                <w:kern w:val="0"/>
                <w:sz w:val="24"/>
                <w:szCs w:val="24"/>
              </w:rPr>
            </w:pPr>
            <w:r>
              <w:rPr>
                <w:b/>
                <w:bCs/>
                <w:color w:val="auto"/>
                <w:kern w:val="0"/>
                <w:sz w:val="24"/>
                <w:szCs w:val="24"/>
              </w:rPr>
              <w:t>表4</w:t>
            </w:r>
            <w:r>
              <w:rPr>
                <w:rFonts w:hint="eastAsia"/>
                <w:b/>
                <w:bCs/>
                <w:color w:val="auto"/>
                <w:kern w:val="0"/>
                <w:sz w:val="24"/>
                <w:szCs w:val="24"/>
              </w:rPr>
              <w:t>-</w:t>
            </w:r>
            <w:r>
              <w:rPr>
                <w:b/>
                <w:bCs/>
                <w:color w:val="auto"/>
                <w:kern w:val="0"/>
                <w:sz w:val="24"/>
                <w:szCs w:val="24"/>
              </w:rPr>
              <w:t>5 本项目污染源监测计划</w:t>
            </w:r>
          </w:p>
          <w:tbl>
            <w:tblPr>
              <w:tblStyle w:val="30"/>
              <w:tblW w:w="84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976"/>
              <w:gridCol w:w="1249"/>
              <w:gridCol w:w="1354"/>
              <w:gridCol w:w="1102"/>
              <w:gridCol w:w="2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3" w:type="dxa"/>
                  <w:gridSpan w:val="2"/>
                  <w:noWrap w:val="0"/>
                  <w:vAlign w:val="center"/>
                </w:tcPr>
                <w:p>
                  <w:pPr>
                    <w:jc w:val="center"/>
                    <w:rPr>
                      <w:bCs/>
                      <w:color w:val="auto"/>
                      <w:szCs w:val="21"/>
                    </w:rPr>
                  </w:pPr>
                  <w:r>
                    <w:rPr>
                      <w:bCs/>
                      <w:color w:val="auto"/>
                      <w:szCs w:val="21"/>
                    </w:rPr>
                    <w:t>排污类别</w:t>
                  </w:r>
                </w:p>
              </w:tc>
              <w:tc>
                <w:tcPr>
                  <w:tcW w:w="1249" w:type="dxa"/>
                  <w:noWrap w:val="0"/>
                  <w:vAlign w:val="center"/>
                </w:tcPr>
                <w:p>
                  <w:pPr>
                    <w:jc w:val="center"/>
                    <w:rPr>
                      <w:color w:val="auto"/>
                      <w:szCs w:val="21"/>
                    </w:rPr>
                  </w:pPr>
                  <w:r>
                    <w:rPr>
                      <w:bCs/>
                      <w:color w:val="auto"/>
                      <w:szCs w:val="21"/>
                    </w:rPr>
                    <w:t>监测点位</w:t>
                  </w:r>
                </w:p>
              </w:tc>
              <w:tc>
                <w:tcPr>
                  <w:tcW w:w="1354" w:type="dxa"/>
                  <w:noWrap w:val="0"/>
                  <w:vAlign w:val="center"/>
                </w:tcPr>
                <w:p>
                  <w:pPr>
                    <w:jc w:val="center"/>
                    <w:rPr>
                      <w:bCs/>
                      <w:color w:val="auto"/>
                      <w:szCs w:val="21"/>
                    </w:rPr>
                  </w:pPr>
                  <w:r>
                    <w:rPr>
                      <w:bCs/>
                      <w:color w:val="auto"/>
                      <w:szCs w:val="21"/>
                    </w:rPr>
                    <w:t>监测指标</w:t>
                  </w:r>
                </w:p>
              </w:tc>
              <w:tc>
                <w:tcPr>
                  <w:tcW w:w="1102" w:type="dxa"/>
                  <w:noWrap w:val="0"/>
                  <w:vAlign w:val="center"/>
                </w:tcPr>
                <w:p>
                  <w:pPr>
                    <w:jc w:val="center"/>
                    <w:rPr>
                      <w:bCs/>
                      <w:color w:val="auto"/>
                      <w:szCs w:val="21"/>
                    </w:rPr>
                  </w:pPr>
                  <w:r>
                    <w:rPr>
                      <w:bCs/>
                      <w:color w:val="auto"/>
                      <w:szCs w:val="21"/>
                    </w:rPr>
                    <w:t>监测频次</w:t>
                  </w:r>
                </w:p>
              </w:tc>
              <w:tc>
                <w:tcPr>
                  <w:tcW w:w="2950" w:type="dxa"/>
                  <w:noWrap w:val="0"/>
                  <w:vAlign w:val="center"/>
                </w:tcPr>
                <w:p>
                  <w:pPr>
                    <w:jc w:val="center"/>
                    <w:rPr>
                      <w:bCs/>
                      <w:color w:val="auto"/>
                      <w:szCs w:val="21"/>
                    </w:rPr>
                  </w:pPr>
                  <w:r>
                    <w:rPr>
                      <w:bCs/>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7" w:type="dxa"/>
                  <w:vMerge w:val="restart"/>
                  <w:noWrap w:val="0"/>
                  <w:vAlign w:val="center"/>
                </w:tcPr>
                <w:p>
                  <w:pPr>
                    <w:jc w:val="center"/>
                    <w:rPr>
                      <w:bCs/>
                      <w:color w:val="auto"/>
                      <w:szCs w:val="21"/>
                    </w:rPr>
                  </w:pPr>
                  <w:r>
                    <w:rPr>
                      <w:bCs/>
                      <w:color w:val="auto"/>
                      <w:szCs w:val="21"/>
                    </w:rPr>
                    <w:t>废气</w:t>
                  </w:r>
                </w:p>
              </w:tc>
              <w:tc>
                <w:tcPr>
                  <w:tcW w:w="976" w:type="dxa"/>
                  <w:vMerge w:val="restart"/>
                  <w:noWrap w:val="0"/>
                  <w:vAlign w:val="center"/>
                </w:tcPr>
                <w:p>
                  <w:pPr>
                    <w:jc w:val="center"/>
                    <w:rPr>
                      <w:bCs/>
                      <w:color w:val="auto"/>
                      <w:szCs w:val="21"/>
                    </w:rPr>
                  </w:pPr>
                  <w:r>
                    <w:rPr>
                      <w:bCs/>
                      <w:color w:val="auto"/>
                      <w:szCs w:val="21"/>
                    </w:rPr>
                    <w:t>有组织</w:t>
                  </w:r>
                </w:p>
              </w:tc>
              <w:tc>
                <w:tcPr>
                  <w:tcW w:w="1249" w:type="dxa"/>
                  <w:noWrap w:val="0"/>
                  <w:vAlign w:val="center"/>
                </w:tcPr>
                <w:p>
                  <w:pPr>
                    <w:jc w:val="center"/>
                    <w:rPr>
                      <w:bCs/>
                      <w:color w:val="auto"/>
                      <w:kern w:val="0"/>
                      <w:szCs w:val="21"/>
                    </w:rPr>
                  </w:pPr>
                  <w:r>
                    <w:rPr>
                      <w:rFonts w:hint="eastAsia"/>
                      <w:bCs/>
                      <w:color w:val="auto"/>
                      <w:kern w:val="0"/>
                      <w:szCs w:val="21"/>
                      <w:lang w:val="en-US" w:eastAsia="zh-CN"/>
                    </w:rPr>
                    <w:t>3</w:t>
                  </w:r>
                  <w:r>
                    <w:rPr>
                      <w:bCs/>
                      <w:color w:val="auto"/>
                      <w:kern w:val="0"/>
                      <w:szCs w:val="21"/>
                    </w:rPr>
                    <w:t>0m</w:t>
                  </w:r>
                  <w:r>
                    <w:rPr>
                      <w:rFonts w:hint="eastAsia"/>
                      <w:bCs/>
                      <w:color w:val="auto"/>
                      <w:kern w:val="0"/>
                      <w:szCs w:val="21"/>
                    </w:rPr>
                    <w:t>高烟囱</w:t>
                  </w:r>
                </w:p>
                <w:p>
                  <w:pPr>
                    <w:jc w:val="center"/>
                    <w:rPr>
                      <w:bCs/>
                      <w:color w:val="auto"/>
                      <w:kern w:val="0"/>
                      <w:szCs w:val="21"/>
                    </w:rPr>
                  </w:pPr>
                  <w:r>
                    <w:rPr>
                      <w:rFonts w:hint="eastAsia"/>
                      <w:bCs/>
                      <w:color w:val="auto"/>
                      <w:kern w:val="0"/>
                      <w:szCs w:val="21"/>
                    </w:rPr>
                    <w:t>烟道</w:t>
                  </w:r>
                </w:p>
              </w:tc>
              <w:tc>
                <w:tcPr>
                  <w:tcW w:w="1354" w:type="dxa"/>
                  <w:noWrap w:val="0"/>
                  <w:vAlign w:val="center"/>
                </w:tcPr>
                <w:p>
                  <w:pPr>
                    <w:jc w:val="center"/>
                    <w:rPr>
                      <w:bCs/>
                      <w:color w:val="auto"/>
                      <w:kern w:val="0"/>
                      <w:szCs w:val="21"/>
                    </w:rPr>
                  </w:pPr>
                  <w:r>
                    <w:rPr>
                      <w:rFonts w:hint="eastAsia"/>
                      <w:bCs/>
                      <w:color w:val="auto"/>
                      <w:kern w:val="0"/>
                      <w:szCs w:val="21"/>
                    </w:rPr>
                    <w:t>颗粒物</w:t>
                  </w:r>
                </w:p>
                <w:p>
                  <w:pPr>
                    <w:jc w:val="center"/>
                    <w:rPr>
                      <w:bCs/>
                      <w:color w:val="auto"/>
                      <w:kern w:val="0"/>
                      <w:szCs w:val="21"/>
                    </w:rPr>
                  </w:pPr>
                  <w:r>
                    <w:rPr>
                      <w:rFonts w:hint="eastAsia"/>
                      <w:bCs/>
                      <w:color w:val="auto"/>
                      <w:kern w:val="0"/>
                      <w:szCs w:val="21"/>
                    </w:rPr>
                    <w:t>二氧化硫</w:t>
                  </w:r>
                </w:p>
                <w:p>
                  <w:pPr>
                    <w:jc w:val="center"/>
                    <w:rPr>
                      <w:bCs/>
                      <w:color w:val="auto"/>
                      <w:kern w:val="0"/>
                      <w:szCs w:val="21"/>
                    </w:rPr>
                  </w:pPr>
                  <w:r>
                    <w:rPr>
                      <w:rFonts w:hint="eastAsia"/>
                      <w:bCs/>
                      <w:color w:val="auto"/>
                      <w:kern w:val="0"/>
                      <w:szCs w:val="21"/>
                    </w:rPr>
                    <w:t>氮氧化物</w:t>
                  </w:r>
                </w:p>
              </w:tc>
              <w:tc>
                <w:tcPr>
                  <w:tcW w:w="1102" w:type="dxa"/>
                  <w:vMerge w:val="restart"/>
                  <w:noWrap w:val="0"/>
                  <w:vAlign w:val="center"/>
                </w:tcPr>
                <w:p>
                  <w:pPr>
                    <w:jc w:val="center"/>
                    <w:rPr>
                      <w:bCs/>
                      <w:color w:val="auto"/>
                      <w:kern w:val="0"/>
                      <w:szCs w:val="21"/>
                    </w:rPr>
                  </w:pPr>
                  <w:r>
                    <w:rPr>
                      <w:rFonts w:hint="eastAsia"/>
                      <w:bCs/>
                      <w:color w:val="auto"/>
                      <w:kern w:val="0"/>
                      <w:szCs w:val="21"/>
                    </w:rPr>
                    <w:t>每</w:t>
                  </w:r>
                  <w:r>
                    <w:rPr>
                      <w:rFonts w:hint="eastAsia"/>
                      <w:bCs/>
                      <w:color w:val="auto"/>
                      <w:kern w:val="0"/>
                      <w:szCs w:val="21"/>
                      <w:lang w:val="en-US" w:eastAsia="zh-CN"/>
                    </w:rPr>
                    <w:t>月</w:t>
                  </w:r>
                  <w:r>
                    <w:rPr>
                      <w:rFonts w:hint="eastAsia"/>
                      <w:bCs/>
                      <w:color w:val="auto"/>
                      <w:kern w:val="0"/>
                      <w:szCs w:val="21"/>
                    </w:rPr>
                    <w:t>监测</w:t>
                  </w:r>
                  <w:r>
                    <w:rPr>
                      <w:bCs/>
                      <w:color w:val="auto"/>
                      <w:kern w:val="0"/>
                      <w:szCs w:val="21"/>
                    </w:rPr>
                    <w:t>1次</w:t>
                  </w:r>
                </w:p>
              </w:tc>
              <w:tc>
                <w:tcPr>
                  <w:tcW w:w="2950" w:type="dxa"/>
                  <w:vMerge w:val="restart"/>
                  <w:noWrap w:val="0"/>
                  <w:vAlign w:val="center"/>
                </w:tcPr>
                <w:p>
                  <w:pPr>
                    <w:jc w:val="center"/>
                    <w:rPr>
                      <w:bCs/>
                      <w:color w:val="auto"/>
                      <w:szCs w:val="21"/>
                    </w:rPr>
                  </w:pPr>
                  <w:r>
                    <w:rPr>
                      <w:rFonts w:hint="eastAsia"/>
                      <w:bCs/>
                      <w:color w:val="auto"/>
                      <w:kern w:val="0"/>
                      <w:szCs w:val="21"/>
                    </w:rPr>
                    <w:t>《锅炉大气污染物排放标准》（</w:t>
                  </w:r>
                  <w:r>
                    <w:rPr>
                      <w:bCs/>
                      <w:color w:val="auto"/>
                      <w:kern w:val="0"/>
                      <w:szCs w:val="21"/>
                    </w:rPr>
                    <w:t>GB13271-2014</w:t>
                  </w:r>
                  <w:r>
                    <w:rPr>
                      <w:rFonts w:hint="eastAsia"/>
                      <w:bCs/>
                      <w:color w:val="auto"/>
                      <w:kern w:val="0"/>
                      <w:szCs w:val="21"/>
                    </w:rPr>
                    <w:t>）表</w:t>
                  </w:r>
                  <w:r>
                    <w:rPr>
                      <w:bCs/>
                      <w:color w:val="auto"/>
                      <w:kern w:val="0"/>
                      <w:szCs w:val="21"/>
                    </w:rPr>
                    <w:t>2</w:t>
                  </w:r>
                  <w:r>
                    <w:rPr>
                      <w:rFonts w:hint="eastAsia"/>
                      <w:bCs/>
                      <w:color w:val="auto"/>
                      <w:kern w:val="0"/>
                      <w:szCs w:val="21"/>
                    </w:rPr>
                    <w:t>燃煤锅炉大气污染物排放限值要求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7" w:type="dxa"/>
                  <w:vMerge w:val="continue"/>
                  <w:noWrap w:val="0"/>
                  <w:vAlign w:val="center"/>
                </w:tcPr>
                <w:p>
                  <w:pPr>
                    <w:jc w:val="center"/>
                    <w:rPr>
                      <w:bCs/>
                      <w:color w:val="auto"/>
                      <w:szCs w:val="21"/>
                    </w:rPr>
                  </w:pPr>
                </w:p>
              </w:tc>
              <w:tc>
                <w:tcPr>
                  <w:tcW w:w="976" w:type="dxa"/>
                  <w:vMerge w:val="continue"/>
                  <w:noWrap w:val="0"/>
                  <w:vAlign w:val="center"/>
                </w:tcPr>
                <w:p>
                  <w:pPr>
                    <w:jc w:val="center"/>
                    <w:rPr>
                      <w:bCs/>
                      <w:color w:val="auto"/>
                      <w:szCs w:val="21"/>
                    </w:rPr>
                  </w:pPr>
                </w:p>
              </w:tc>
              <w:tc>
                <w:tcPr>
                  <w:tcW w:w="1249" w:type="dxa"/>
                  <w:noWrap w:val="0"/>
                  <w:vAlign w:val="center"/>
                </w:tcPr>
                <w:p>
                  <w:pPr>
                    <w:jc w:val="center"/>
                    <w:rPr>
                      <w:rFonts w:hint="default" w:eastAsia="宋体"/>
                      <w:bCs/>
                      <w:color w:val="auto"/>
                      <w:kern w:val="0"/>
                      <w:szCs w:val="21"/>
                      <w:lang w:val="en-US" w:eastAsia="zh-CN"/>
                    </w:rPr>
                  </w:pPr>
                  <w:r>
                    <w:rPr>
                      <w:rFonts w:hint="eastAsia"/>
                      <w:bCs/>
                      <w:color w:val="auto"/>
                      <w:kern w:val="0"/>
                      <w:szCs w:val="21"/>
                      <w:lang w:val="en-US" w:eastAsia="zh-CN"/>
                    </w:rPr>
                    <w:t>烟囱出口</w:t>
                  </w:r>
                </w:p>
              </w:tc>
              <w:tc>
                <w:tcPr>
                  <w:tcW w:w="1354" w:type="dxa"/>
                  <w:noWrap w:val="0"/>
                  <w:vAlign w:val="center"/>
                </w:tcPr>
                <w:p>
                  <w:pPr>
                    <w:jc w:val="center"/>
                    <w:rPr>
                      <w:rFonts w:hint="eastAsia"/>
                      <w:bCs/>
                      <w:color w:val="auto"/>
                      <w:kern w:val="0"/>
                      <w:szCs w:val="21"/>
                    </w:rPr>
                  </w:pPr>
                  <w:r>
                    <w:rPr>
                      <w:rFonts w:hint="eastAsia"/>
                      <w:bCs/>
                      <w:color w:val="auto"/>
                      <w:kern w:val="0"/>
                      <w:szCs w:val="21"/>
                    </w:rPr>
                    <w:t>林格曼黑度</w:t>
                  </w:r>
                </w:p>
              </w:tc>
              <w:tc>
                <w:tcPr>
                  <w:tcW w:w="1102" w:type="dxa"/>
                  <w:vMerge w:val="continue"/>
                  <w:noWrap w:val="0"/>
                  <w:vAlign w:val="center"/>
                </w:tcPr>
                <w:p>
                  <w:pPr>
                    <w:jc w:val="center"/>
                    <w:rPr>
                      <w:rFonts w:hint="eastAsia"/>
                      <w:bCs/>
                      <w:color w:val="auto"/>
                      <w:kern w:val="0"/>
                      <w:szCs w:val="21"/>
                    </w:rPr>
                  </w:pPr>
                </w:p>
              </w:tc>
              <w:tc>
                <w:tcPr>
                  <w:tcW w:w="2950" w:type="dxa"/>
                  <w:vMerge w:val="continue"/>
                  <w:noWrap w:val="0"/>
                  <w:vAlign w:val="center"/>
                </w:tcPr>
                <w:p>
                  <w:pPr>
                    <w:jc w:val="center"/>
                    <w:rPr>
                      <w:rFonts w:hint="eastAsia"/>
                      <w:bCs/>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7" w:type="dxa"/>
                  <w:vMerge w:val="continue"/>
                  <w:noWrap w:val="0"/>
                  <w:vAlign w:val="center"/>
                </w:tcPr>
                <w:p>
                  <w:pPr>
                    <w:jc w:val="center"/>
                    <w:rPr>
                      <w:bCs/>
                      <w:color w:val="auto"/>
                      <w:szCs w:val="21"/>
                    </w:rPr>
                  </w:pPr>
                </w:p>
              </w:tc>
              <w:tc>
                <w:tcPr>
                  <w:tcW w:w="976" w:type="dxa"/>
                  <w:noWrap w:val="0"/>
                  <w:vAlign w:val="center"/>
                </w:tcPr>
                <w:p>
                  <w:pPr>
                    <w:jc w:val="center"/>
                    <w:rPr>
                      <w:rFonts w:hint="eastAsia" w:eastAsia="宋体"/>
                      <w:bCs/>
                      <w:color w:val="auto"/>
                      <w:szCs w:val="21"/>
                      <w:lang w:val="en-US" w:eastAsia="zh-CN"/>
                    </w:rPr>
                  </w:pPr>
                  <w:r>
                    <w:rPr>
                      <w:rFonts w:hint="eastAsia"/>
                      <w:bCs/>
                      <w:color w:val="auto"/>
                      <w:szCs w:val="21"/>
                      <w:lang w:val="en-US" w:eastAsia="zh-CN"/>
                    </w:rPr>
                    <w:t>无组织</w:t>
                  </w:r>
                </w:p>
              </w:tc>
              <w:tc>
                <w:tcPr>
                  <w:tcW w:w="1249" w:type="dxa"/>
                  <w:noWrap w:val="0"/>
                  <w:vAlign w:val="center"/>
                </w:tcPr>
                <w:p>
                  <w:pPr>
                    <w:jc w:val="center"/>
                    <w:rPr>
                      <w:rFonts w:hint="default" w:eastAsia="宋体"/>
                      <w:bCs/>
                      <w:color w:val="auto"/>
                      <w:kern w:val="0"/>
                      <w:szCs w:val="21"/>
                      <w:lang w:val="en-US" w:eastAsia="zh-CN"/>
                    </w:rPr>
                  </w:pPr>
                  <w:r>
                    <w:rPr>
                      <w:rFonts w:hint="eastAsia"/>
                      <w:bCs/>
                      <w:color w:val="auto"/>
                      <w:kern w:val="0"/>
                      <w:szCs w:val="21"/>
                      <w:lang w:val="en-US" w:eastAsia="zh-CN"/>
                    </w:rPr>
                    <w:t>厂界上风向一个点，厂界下风向3个点</w:t>
                  </w:r>
                </w:p>
              </w:tc>
              <w:tc>
                <w:tcPr>
                  <w:tcW w:w="1354" w:type="dxa"/>
                  <w:noWrap w:val="0"/>
                  <w:vAlign w:val="center"/>
                </w:tcPr>
                <w:p>
                  <w:pPr>
                    <w:jc w:val="center"/>
                    <w:rPr>
                      <w:rFonts w:hint="eastAsia" w:eastAsia="宋体"/>
                      <w:bCs/>
                      <w:color w:val="auto"/>
                      <w:kern w:val="0"/>
                      <w:szCs w:val="21"/>
                      <w:lang w:val="en-US" w:eastAsia="zh-CN"/>
                    </w:rPr>
                  </w:pPr>
                  <w:r>
                    <w:rPr>
                      <w:rFonts w:hint="eastAsia"/>
                      <w:bCs/>
                      <w:color w:val="auto"/>
                      <w:kern w:val="0"/>
                      <w:szCs w:val="21"/>
                      <w:lang w:val="en-US" w:eastAsia="zh-CN"/>
                    </w:rPr>
                    <w:t>颗粒物</w:t>
                  </w:r>
                </w:p>
              </w:tc>
              <w:tc>
                <w:tcPr>
                  <w:tcW w:w="1102" w:type="dxa"/>
                  <w:noWrap w:val="0"/>
                  <w:vAlign w:val="center"/>
                </w:tcPr>
                <w:p>
                  <w:pPr>
                    <w:jc w:val="center"/>
                    <w:rPr>
                      <w:rFonts w:hint="eastAsia" w:eastAsia="宋体"/>
                      <w:bCs/>
                      <w:color w:val="auto"/>
                      <w:kern w:val="0"/>
                      <w:szCs w:val="21"/>
                      <w:lang w:val="en-US" w:eastAsia="zh-CN"/>
                    </w:rPr>
                  </w:pPr>
                  <w:r>
                    <w:rPr>
                      <w:rFonts w:hint="eastAsia"/>
                      <w:bCs/>
                      <w:color w:val="auto"/>
                      <w:kern w:val="0"/>
                      <w:szCs w:val="21"/>
                      <w:lang w:val="en-US" w:eastAsia="zh-CN"/>
                    </w:rPr>
                    <w:t>季度</w:t>
                  </w:r>
                </w:p>
              </w:tc>
              <w:tc>
                <w:tcPr>
                  <w:tcW w:w="2950" w:type="dxa"/>
                  <w:noWrap w:val="0"/>
                  <w:vAlign w:val="center"/>
                </w:tcPr>
                <w:p>
                  <w:pPr>
                    <w:jc w:val="center"/>
                    <w:rPr>
                      <w:rFonts w:hint="eastAsia"/>
                      <w:bCs/>
                      <w:color w:val="auto"/>
                      <w:kern w:val="2"/>
                      <w:sz w:val="21"/>
                      <w:szCs w:val="21"/>
                      <w:lang w:val="en-US" w:eastAsia="zh-CN" w:bidi="ar-SA"/>
                    </w:rPr>
                  </w:pPr>
                  <w:r>
                    <w:rPr>
                      <w:bCs/>
                      <w:color w:val="auto"/>
                      <w:kern w:val="0"/>
                      <w:sz w:val="21"/>
                      <w:szCs w:val="21"/>
                    </w:rPr>
                    <w:t>《大气污染物综合排放标准》（GB16297-1996）</w:t>
                  </w:r>
                </w:p>
              </w:tc>
            </w:tr>
          </w:tbl>
          <w:p>
            <w:pPr>
              <w:adjustRightInd w:val="0"/>
              <w:snapToGrid w:val="0"/>
              <w:spacing w:line="360" w:lineRule="auto"/>
              <w:ind w:firstLine="460" w:firstLineChars="200"/>
              <w:rPr>
                <w:color w:val="auto"/>
                <w:spacing w:val="-5"/>
                <w:sz w:val="24"/>
                <w:szCs w:val="21"/>
              </w:rPr>
            </w:pPr>
            <w:r>
              <w:rPr>
                <w:rFonts w:hint="eastAsia"/>
                <w:color w:val="auto"/>
                <w:spacing w:val="-5"/>
                <w:sz w:val="24"/>
                <w:szCs w:val="21"/>
              </w:rPr>
              <w:t xml:space="preserve">3、污染治理措施及环境影响分析 </w:t>
            </w:r>
          </w:p>
          <w:p>
            <w:pPr>
              <w:spacing w:line="440" w:lineRule="exact"/>
              <w:ind w:firstLine="480" w:firstLineChars="200"/>
              <w:contextualSpacing/>
              <w:rPr>
                <w:color w:val="auto"/>
                <w:sz w:val="24"/>
              </w:rPr>
            </w:pPr>
            <w:r>
              <w:rPr>
                <w:rFonts w:hint="eastAsia"/>
                <w:color w:val="auto"/>
                <w:sz w:val="24"/>
              </w:rPr>
              <w:t>根据</w:t>
            </w:r>
            <w:r>
              <w:rPr>
                <w:color w:val="auto"/>
                <w:sz w:val="24"/>
              </w:rPr>
              <w:t>《</w:t>
            </w:r>
            <w:r>
              <w:rPr>
                <w:rFonts w:hint="eastAsia"/>
                <w:color w:val="auto"/>
                <w:sz w:val="24"/>
              </w:rPr>
              <w:t>排污许可证申请与核发技术规范 锅炉</w:t>
            </w:r>
            <w:r>
              <w:rPr>
                <w:color w:val="auto"/>
                <w:sz w:val="24"/>
              </w:rPr>
              <w:t>》</w:t>
            </w:r>
            <w:r>
              <w:rPr>
                <w:rFonts w:hint="eastAsia"/>
                <w:color w:val="auto"/>
                <w:sz w:val="24"/>
              </w:rPr>
              <w:t>（</w:t>
            </w:r>
            <w:r>
              <w:rPr>
                <w:color w:val="auto"/>
                <w:sz w:val="24"/>
              </w:rPr>
              <w:t>HJ</w:t>
            </w:r>
            <w:r>
              <w:rPr>
                <w:rFonts w:hint="eastAsia"/>
                <w:color w:val="auto"/>
                <w:sz w:val="24"/>
              </w:rPr>
              <w:t>953</w:t>
            </w:r>
            <w:r>
              <w:rPr>
                <w:color w:val="auto"/>
                <w:sz w:val="24"/>
              </w:rPr>
              <w:t>-201</w:t>
            </w:r>
            <w:r>
              <w:rPr>
                <w:rFonts w:hint="eastAsia"/>
                <w:color w:val="auto"/>
                <w:sz w:val="24"/>
              </w:rPr>
              <w:t>8）</w:t>
            </w:r>
            <w:r>
              <w:rPr>
                <w:color w:val="auto"/>
                <w:sz w:val="24"/>
              </w:rPr>
              <w:t>的可行技术要求。详见下表。</w:t>
            </w:r>
          </w:p>
          <w:p>
            <w:pPr>
              <w:ind w:firstLine="424" w:firstLineChars="176"/>
              <w:jc w:val="center"/>
              <w:rPr>
                <w:b/>
                <w:bCs/>
                <w:color w:val="auto"/>
                <w:kern w:val="0"/>
                <w:sz w:val="24"/>
                <w:szCs w:val="24"/>
              </w:rPr>
            </w:pPr>
            <w:r>
              <w:rPr>
                <w:rFonts w:hint="eastAsia"/>
                <w:b/>
                <w:bCs/>
                <w:color w:val="auto"/>
                <w:kern w:val="0"/>
                <w:sz w:val="24"/>
                <w:szCs w:val="24"/>
              </w:rPr>
              <w:t>表4-</w:t>
            </w:r>
            <w:r>
              <w:rPr>
                <w:b/>
                <w:bCs/>
                <w:color w:val="auto"/>
                <w:kern w:val="0"/>
                <w:sz w:val="24"/>
                <w:szCs w:val="24"/>
              </w:rPr>
              <w:t>6</w:t>
            </w:r>
            <w:r>
              <w:rPr>
                <w:rFonts w:hint="eastAsia"/>
                <w:b/>
                <w:bCs/>
                <w:color w:val="auto"/>
                <w:kern w:val="0"/>
                <w:sz w:val="24"/>
                <w:szCs w:val="24"/>
              </w:rPr>
              <w:t xml:space="preserve">  废气治理可行性技术对比表</w:t>
            </w:r>
          </w:p>
          <w:tbl>
            <w:tblPr>
              <w:tblStyle w:val="30"/>
              <w:tblW w:w="845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450"/>
              <w:gridCol w:w="569"/>
              <w:gridCol w:w="569"/>
              <w:gridCol w:w="2960"/>
              <w:gridCol w:w="2158"/>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1" w:type="dxa"/>
                  <w:noWrap/>
                  <w:vAlign w:val="center"/>
                </w:tcPr>
                <w:p>
                  <w:pPr>
                    <w:jc w:val="center"/>
                    <w:rPr>
                      <w:bCs/>
                      <w:color w:val="auto"/>
                      <w:szCs w:val="21"/>
                    </w:rPr>
                  </w:pPr>
                  <w:r>
                    <w:rPr>
                      <w:rFonts w:hint="eastAsia"/>
                      <w:bCs/>
                      <w:color w:val="auto"/>
                      <w:szCs w:val="21"/>
                    </w:rPr>
                    <w:t>生产</w:t>
                  </w:r>
                </w:p>
                <w:p>
                  <w:pPr>
                    <w:jc w:val="center"/>
                    <w:rPr>
                      <w:bCs/>
                      <w:color w:val="auto"/>
                      <w:szCs w:val="21"/>
                    </w:rPr>
                  </w:pPr>
                  <w:r>
                    <w:rPr>
                      <w:rFonts w:hint="eastAsia"/>
                      <w:bCs/>
                      <w:color w:val="auto"/>
                      <w:szCs w:val="21"/>
                    </w:rPr>
                    <w:t>设施</w:t>
                  </w:r>
                </w:p>
              </w:tc>
              <w:tc>
                <w:tcPr>
                  <w:tcW w:w="450" w:type="dxa"/>
                  <w:noWrap/>
                  <w:vAlign w:val="center"/>
                </w:tcPr>
                <w:p>
                  <w:pPr>
                    <w:jc w:val="center"/>
                    <w:rPr>
                      <w:bCs/>
                      <w:color w:val="auto"/>
                      <w:szCs w:val="21"/>
                    </w:rPr>
                  </w:pPr>
                  <w:r>
                    <w:rPr>
                      <w:rFonts w:hint="eastAsia"/>
                      <w:bCs/>
                      <w:color w:val="auto"/>
                      <w:szCs w:val="21"/>
                    </w:rPr>
                    <w:t>产污</w:t>
                  </w:r>
                </w:p>
                <w:p>
                  <w:pPr>
                    <w:jc w:val="center"/>
                    <w:rPr>
                      <w:bCs/>
                      <w:color w:val="auto"/>
                      <w:szCs w:val="21"/>
                    </w:rPr>
                  </w:pPr>
                  <w:r>
                    <w:rPr>
                      <w:bCs/>
                      <w:color w:val="auto"/>
                      <w:szCs w:val="21"/>
                    </w:rPr>
                    <w:t>环节</w:t>
                  </w:r>
                </w:p>
              </w:tc>
              <w:tc>
                <w:tcPr>
                  <w:tcW w:w="569" w:type="dxa"/>
                  <w:noWrap/>
                  <w:vAlign w:val="center"/>
                </w:tcPr>
                <w:p>
                  <w:pPr>
                    <w:jc w:val="center"/>
                    <w:rPr>
                      <w:bCs/>
                      <w:color w:val="auto"/>
                      <w:szCs w:val="21"/>
                    </w:rPr>
                  </w:pPr>
                  <w:r>
                    <w:rPr>
                      <w:bCs/>
                      <w:color w:val="auto"/>
                      <w:szCs w:val="21"/>
                    </w:rPr>
                    <w:t>污染物</w:t>
                  </w:r>
                </w:p>
              </w:tc>
              <w:tc>
                <w:tcPr>
                  <w:tcW w:w="569" w:type="dxa"/>
                  <w:noWrap/>
                  <w:vAlign w:val="center"/>
                </w:tcPr>
                <w:p>
                  <w:pPr>
                    <w:jc w:val="center"/>
                    <w:rPr>
                      <w:bCs/>
                      <w:color w:val="auto"/>
                      <w:szCs w:val="21"/>
                    </w:rPr>
                  </w:pPr>
                  <w:r>
                    <w:rPr>
                      <w:rFonts w:hint="eastAsia"/>
                      <w:bCs/>
                      <w:color w:val="auto"/>
                      <w:szCs w:val="21"/>
                    </w:rPr>
                    <w:t>排放</w:t>
                  </w:r>
                </w:p>
                <w:p>
                  <w:pPr>
                    <w:jc w:val="center"/>
                    <w:rPr>
                      <w:bCs/>
                      <w:color w:val="auto"/>
                      <w:szCs w:val="21"/>
                    </w:rPr>
                  </w:pPr>
                  <w:r>
                    <w:rPr>
                      <w:rFonts w:hint="eastAsia"/>
                      <w:bCs/>
                      <w:color w:val="auto"/>
                      <w:szCs w:val="21"/>
                    </w:rPr>
                    <w:t>形式</w:t>
                  </w:r>
                </w:p>
              </w:tc>
              <w:tc>
                <w:tcPr>
                  <w:tcW w:w="2960" w:type="dxa"/>
                  <w:noWrap/>
                  <w:vAlign w:val="center"/>
                </w:tcPr>
                <w:p>
                  <w:pPr>
                    <w:jc w:val="center"/>
                    <w:rPr>
                      <w:bCs/>
                      <w:color w:val="auto"/>
                      <w:szCs w:val="21"/>
                    </w:rPr>
                  </w:pPr>
                  <w:r>
                    <w:rPr>
                      <w:bCs/>
                      <w:color w:val="auto"/>
                      <w:szCs w:val="21"/>
                    </w:rPr>
                    <w:t>排污许可证申请</w:t>
                  </w:r>
                </w:p>
                <w:p>
                  <w:pPr>
                    <w:jc w:val="center"/>
                    <w:rPr>
                      <w:bCs/>
                      <w:color w:val="auto"/>
                      <w:szCs w:val="21"/>
                    </w:rPr>
                  </w:pPr>
                  <w:r>
                    <w:rPr>
                      <w:bCs/>
                      <w:color w:val="auto"/>
                      <w:szCs w:val="21"/>
                    </w:rPr>
                    <w:t>与核发技术规范</w:t>
                  </w:r>
                </w:p>
                <w:p>
                  <w:pPr>
                    <w:jc w:val="center"/>
                    <w:rPr>
                      <w:bCs/>
                      <w:color w:val="auto"/>
                      <w:szCs w:val="21"/>
                    </w:rPr>
                  </w:pPr>
                  <w:r>
                    <w:rPr>
                      <w:bCs/>
                      <w:color w:val="auto"/>
                      <w:szCs w:val="21"/>
                    </w:rPr>
                    <w:t>可行性技术</w:t>
                  </w:r>
                  <w:r>
                    <w:rPr>
                      <w:rFonts w:hint="eastAsia"/>
                      <w:bCs/>
                      <w:color w:val="auto"/>
                      <w:szCs w:val="21"/>
                    </w:rPr>
                    <w:t>要求</w:t>
                  </w:r>
                </w:p>
              </w:tc>
              <w:tc>
                <w:tcPr>
                  <w:tcW w:w="2158" w:type="dxa"/>
                  <w:noWrap/>
                  <w:vAlign w:val="center"/>
                </w:tcPr>
                <w:p>
                  <w:pPr>
                    <w:jc w:val="center"/>
                    <w:rPr>
                      <w:bCs/>
                      <w:color w:val="auto"/>
                      <w:szCs w:val="21"/>
                    </w:rPr>
                  </w:pPr>
                  <w:r>
                    <w:rPr>
                      <w:bCs/>
                      <w:color w:val="auto"/>
                      <w:szCs w:val="21"/>
                    </w:rPr>
                    <w:t>本项目环境</w:t>
                  </w:r>
                </w:p>
                <w:p>
                  <w:pPr>
                    <w:jc w:val="center"/>
                    <w:rPr>
                      <w:bCs/>
                      <w:color w:val="auto"/>
                      <w:szCs w:val="21"/>
                    </w:rPr>
                  </w:pPr>
                  <w:r>
                    <w:rPr>
                      <w:bCs/>
                      <w:color w:val="auto"/>
                      <w:szCs w:val="21"/>
                    </w:rPr>
                    <w:t>保护措施</w:t>
                  </w:r>
                </w:p>
              </w:tc>
              <w:tc>
                <w:tcPr>
                  <w:tcW w:w="1168" w:type="dxa"/>
                  <w:noWrap/>
                  <w:vAlign w:val="center"/>
                </w:tcPr>
                <w:p>
                  <w:pPr>
                    <w:jc w:val="center"/>
                    <w:rPr>
                      <w:bCs/>
                      <w:color w:val="auto"/>
                      <w:szCs w:val="21"/>
                    </w:rPr>
                  </w:pPr>
                  <w:r>
                    <w:rPr>
                      <w:bCs/>
                      <w:color w:val="auto"/>
                      <w:szCs w:val="21"/>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581" w:type="dxa"/>
                  <w:noWrap/>
                  <w:vAlign w:val="center"/>
                </w:tcPr>
                <w:p>
                  <w:pPr>
                    <w:jc w:val="center"/>
                    <w:rPr>
                      <w:bCs/>
                      <w:color w:val="auto"/>
                      <w:szCs w:val="21"/>
                    </w:rPr>
                  </w:pPr>
                  <w:r>
                    <w:rPr>
                      <w:bCs/>
                      <w:color w:val="auto"/>
                      <w:szCs w:val="21"/>
                    </w:rPr>
                    <w:t>生物质</w:t>
                  </w:r>
                </w:p>
                <w:p>
                  <w:pPr>
                    <w:jc w:val="center"/>
                    <w:rPr>
                      <w:bCs/>
                      <w:color w:val="auto"/>
                      <w:szCs w:val="21"/>
                    </w:rPr>
                  </w:pPr>
                  <w:r>
                    <w:rPr>
                      <w:rFonts w:hint="eastAsia"/>
                      <w:bCs/>
                      <w:color w:val="auto"/>
                      <w:szCs w:val="21"/>
                    </w:rPr>
                    <w:t>蒸汽</w:t>
                  </w:r>
                </w:p>
                <w:p>
                  <w:pPr>
                    <w:jc w:val="center"/>
                    <w:rPr>
                      <w:bCs/>
                      <w:color w:val="auto"/>
                      <w:szCs w:val="21"/>
                    </w:rPr>
                  </w:pPr>
                  <w:r>
                    <w:rPr>
                      <w:bCs/>
                      <w:color w:val="auto"/>
                      <w:szCs w:val="21"/>
                    </w:rPr>
                    <w:t>锅炉</w:t>
                  </w:r>
                </w:p>
              </w:tc>
              <w:tc>
                <w:tcPr>
                  <w:tcW w:w="450" w:type="dxa"/>
                  <w:noWrap/>
                  <w:vAlign w:val="center"/>
                </w:tcPr>
                <w:p>
                  <w:pPr>
                    <w:jc w:val="center"/>
                    <w:rPr>
                      <w:bCs/>
                      <w:color w:val="auto"/>
                      <w:szCs w:val="21"/>
                    </w:rPr>
                  </w:pPr>
                  <w:r>
                    <w:rPr>
                      <w:bCs/>
                      <w:color w:val="auto"/>
                      <w:szCs w:val="21"/>
                    </w:rPr>
                    <w:t>锅炉</w:t>
                  </w:r>
                </w:p>
                <w:p>
                  <w:pPr>
                    <w:jc w:val="center"/>
                    <w:rPr>
                      <w:bCs/>
                      <w:color w:val="auto"/>
                      <w:szCs w:val="21"/>
                    </w:rPr>
                  </w:pPr>
                  <w:r>
                    <w:rPr>
                      <w:rFonts w:hint="eastAsia"/>
                      <w:bCs/>
                      <w:color w:val="auto"/>
                      <w:szCs w:val="21"/>
                    </w:rPr>
                    <w:t>废气</w:t>
                  </w:r>
                </w:p>
              </w:tc>
              <w:tc>
                <w:tcPr>
                  <w:tcW w:w="569" w:type="dxa"/>
                  <w:noWrap/>
                  <w:vAlign w:val="center"/>
                </w:tcPr>
                <w:p>
                  <w:pPr>
                    <w:jc w:val="center"/>
                    <w:rPr>
                      <w:bCs/>
                      <w:color w:val="auto"/>
                      <w:szCs w:val="21"/>
                    </w:rPr>
                  </w:pPr>
                  <w:r>
                    <w:rPr>
                      <w:bCs/>
                      <w:color w:val="auto"/>
                      <w:szCs w:val="21"/>
                    </w:rPr>
                    <w:t>颗粒物</w:t>
                  </w:r>
                </w:p>
              </w:tc>
              <w:tc>
                <w:tcPr>
                  <w:tcW w:w="569" w:type="dxa"/>
                  <w:noWrap/>
                  <w:vAlign w:val="center"/>
                </w:tcPr>
                <w:p>
                  <w:pPr>
                    <w:jc w:val="center"/>
                    <w:rPr>
                      <w:bCs/>
                      <w:color w:val="auto"/>
                      <w:szCs w:val="21"/>
                    </w:rPr>
                  </w:pPr>
                  <w:r>
                    <w:rPr>
                      <w:rFonts w:hint="eastAsia"/>
                      <w:bCs/>
                      <w:color w:val="auto"/>
                      <w:szCs w:val="21"/>
                    </w:rPr>
                    <w:t>有组织</w:t>
                  </w:r>
                </w:p>
              </w:tc>
              <w:tc>
                <w:tcPr>
                  <w:tcW w:w="2960" w:type="dxa"/>
                  <w:noWrap/>
                  <w:vAlign w:val="center"/>
                </w:tcPr>
                <w:p>
                  <w:pPr>
                    <w:jc w:val="center"/>
                    <w:rPr>
                      <w:bCs/>
                      <w:color w:val="auto"/>
                      <w:szCs w:val="21"/>
                    </w:rPr>
                  </w:pPr>
                  <w:r>
                    <w:rPr>
                      <w:bCs/>
                      <w:color w:val="auto"/>
                      <w:szCs w:val="21"/>
                    </w:rPr>
                    <w:t>旋风除尘和袋式除尘组合技术</w:t>
                  </w:r>
                </w:p>
              </w:tc>
              <w:tc>
                <w:tcPr>
                  <w:tcW w:w="2158" w:type="dxa"/>
                  <w:noWrap/>
                  <w:vAlign w:val="center"/>
                </w:tcPr>
                <w:p>
                  <w:pPr>
                    <w:jc w:val="center"/>
                    <w:rPr>
                      <w:bCs/>
                      <w:color w:val="auto"/>
                      <w:szCs w:val="21"/>
                    </w:rPr>
                  </w:pPr>
                  <w:r>
                    <w:rPr>
                      <w:rFonts w:hint="eastAsia"/>
                      <w:bCs/>
                      <w:color w:val="auto"/>
                      <w:szCs w:val="21"/>
                      <w:lang w:val="en-US" w:eastAsia="zh-CN"/>
                    </w:rPr>
                    <w:t>旋风+</w:t>
                  </w:r>
                  <w:r>
                    <w:rPr>
                      <w:rFonts w:hint="eastAsia"/>
                      <w:bCs/>
                      <w:color w:val="auto"/>
                      <w:szCs w:val="21"/>
                    </w:rPr>
                    <w:t>布袋除尘器+低氮燃烧</w:t>
                  </w:r>
                  <w:r>
                    <w:rPr>
                      <w:rFonts w:hint="eastAsia"/>
                      <w:bCs/>
                      <w:color w:val="auto"/>
                      <w:szCs w:val="21"/>
                      <w:lang w:val="en-US" w:eastAsia="zh-CN"/>
                    </w:rPr>
                    <w:t>技术</w:t>
                  </w:r>
                  <w:r>
                    <w:rPr>
                      <w:rFonts w:hint="eastAsia"/>
                      <w:bCs/>
                      <w:color w:val="auto"/>
                      <w:szCs w:val="21"/>
                    </w:rPr>
                    <w:t>处理后经</w:t>
                  </w:r>
                  <w:r>
                    <w:rPr>
                      <w:rFonts w:hint="eastAsia"/>
                      <w:bCs/>
                      <w:color w:val="auto"/>
                      <w:szCs w:val="21"/>
                      <w:lang w:val="en-US" w:eastAsia="zh-CN"/>
                    </w:rPr>
                    <w:t>3</w:t>
                  </w:r>
                  <w:r>
                    <w:rPr>
                      <w:rFonts w:hint="eastAsia"/>
                      <w:bCs/>
                      <w:color w:val="auto"/>
                      <w:szCs w:val="21"/>
                    </w:rPr>
                    <w:t>0m高烟囱排放</w:t>
                  </w:r>
                </w:p>
              </w:tc>
              <w:tc>
                <w:tcPr>
                  <w:tcW w:w="1168" w:type="dxa"/>
                  <w:noWrap/>
                  <w:vAlign w:val="center"/>
                </w:tcPr>
                <w:p>
                  <w:pPr>
                    <w:jc w:val="center"/>
                    <w:rPr>
                      <w:bCs/>
                      <w:color w:val="auto"/>
                      <w:szCs w:val="21"/>
                    </w:rPr>
                  </w:pPr>
                  <w:r>
                    <w:rPr>
                      <w:bCs/>
                      <w:color w:val="auto"/>
                      <w:szCs w:val="21"/>
                    </w:rPr>
                    <w:t>是</w:t>
                  </w:r>
                </w:p>
              </w:tc>
            </w:tr>
          </w:tbl>
          <w:p>
            <w:pPr>
              <w:adjustRightInd w:val="0"/>
              <w:snapToGrid w:val="0"/>
              <w:spacing w:line="360" w:lineRule="auto"/>
              <w:ind w:firstLine="460" w:firstLineChars="200"/>
              <w:rPr>
                <w:rFonts w:hint="default" w:eastAsia="宋体"/>
                <w:color w:val="auto"/>
                <w:spacing w:val="-5"/>
                <w:sz w:val="24"/>
                <w:szCs w:val="21"/>
                <w:lang w:val="en-US" w:eastAsia="zh-CN"/>
              </w:rPr>
            </w:pPr>
            <w:r>
              <w:rPr>
                <w:rFonts w:hint="eastAsia"/>
                <w:color w:val="auto"/>
                <w:spacing w:val="-5"/>
                <w:sz w:val="24"/>
                <w:szCs w:val="21"/>
              </w:rPr>
              <w:t>本项目</w:t>
            </w:r>
            <w:r>
              <w:rPr>
                <w:color w:val="auto"/>
                <w:spacing w:val="-5"/>
                <w:sz w:val="24"/>
                <w:szCs w:val="21"/>
              </w:rPr>
              <w:t>锅炉烟气经</w:t>
            </w:r>
            <w:r>
              <w:rPr>
                <w:rFonts w:hint="eastAsia"/>
                <w:color w:val="auto"/>
                <w:spacing w:val="-5"/>
                <w:sz w:val="24"/>
                <w:szCs w:val="21"/>
                <w:lang w:val="en-US" w:eastAsia="zh-CN"/>
              </w:rPr>
              <w:t>旋风+</w:t>
            </w:r>
            <w:r>
              <w:rPr>
                <w:rFonts w:hint="eastAsia"/>
                <w:color w:val="auto"/>
                <w:spacing w:val="-5"/>
                <w:sz w:val="24"/>
                <w:szCs w:val="21"/>
              </w:rPr>
              <w:t>布袋除尘器+低氮燃烧</w:t>
            </w:r>
            <w:r>
              <w:rPr>
                <w:rFonts w:hint="eastAsia"/>
                <w:color w:val="auto"/>
                <w:spacing w:val="-5"/>
                <w:sz w:val="24"/>
                <w:szCs w:val="21"/>
                <w:lang w:val="en-US" w:eastAsia="zh-CN"/>
              </w:rPr>
              <w:t>技术</w:t>
            </w:r>
            <w:r>
              <w:rPr>
                <w:color w:val="auto"/>
                <w:spacing w:val="-5"/>
                <w:sz w:val="24"/>
                <w:szCs w:val="21"/>
              </w:rPr>
              <w:t>（除尘效率</w:t>
            </w:r>
            <w:r>
              <w:rPr>
                <w:rFonts w:hint="eastAsia"/>
                <w:color w:val="auto"/>
                <w:spacing w:val="-5"/>
                <w:sz w:val="24"/>
                <w:szCs w:val="21"/>
              </w:rPr>
              <w:t>按</w:t>
            </w:r>
            <w:r>
              <w:rPr>
                <w:color w:val="auto"/>
                <w:spacing w:val="-5"/>
                <w:sz w:val="24"/>
                <w:szCs w:val="21"/>
              </w:rPr>
              <w:t>99.7%</w:t>
            </w:r>
            <w:r>
              <w:rPr>
                <w:rFonts w:hint="eastAsia"/>
                <w:color w:val="auto"/>
                <w:spacing w:val="-5"/>
                <w:sz w:val="24"/>
                <w:szCs w:val="21"/>
              </w:rPr>
              <w:t>计</w:t>
            </w:r>
            <w:r>
              <w:rPr>
                <w:color w:val="auto"/>
                <w:spacing w:val="-5"/>
                <w:sz w:val="24"/>
                <w:szCs w:val="21"/>
              </w:rPr>
              <w:t>）处理后由</w:t>
            </w:r>
            <w:r>
              <w:rPr>
                <w:rFonts w:hint="eastAsia"/>
                <w:color w:val="auto"/>
                <w:spacing w:val="-5"/>
                <w:sz w:val="24"/>
                <w:szCs w:val="21"/>
                <w:lang w:val="en-US" w:eastAsia="zh-CN"/>
              </w:rPr>
              <w:t>3</w:t>
            </w:r>
            <w:r>
              <w:rPr>
                <w:color w:val="auto"/>
                <w:spacing w:val="-5"/>
                <w:sz w:val="24"/>
                <w:szCs w:val="21"/>
              </w:rPr>
              <w:t>0m高烟囱排放</w:t>
            </w:r>
            <w:r>
              <w:rPr>
                <w:rFonts w:hint="eastAsia"/>
                <w:bCs/>
                <w:color w:val="auto"/>
                <w:sz w:val="24"/>
              </w:rPr>
              <w:t>，</w:t>
            </w:r>
            <w:r>
              <w:rPr>
                <w:bCs/>
                <w:color w:val="auto"/>
                <w:sz w:val="24"/>
              </w:rPr>
              <w:t>符合《排污许可证申请与核发技术规范 锅炉》（HJ</w:t>
            </w:r>
            <w:r>
              <w:rPr>
                <w:rFonts w:hint="eastAsia"/>
                <w:bCs/>
                <w:color w:val="auto"/>
                <w:sz w:val="24"/>
                <w:lang w:val="en-US" w:eastAsia="zh-CN"/>
              </w:rPr>
              <w:t>953-2018</w:t>
            </w:r>
            <w:r>
              <w:rPr>
                <w:bCs/>
                <w:color w:val="auto"/>
                <w:sz w:val="24"/>
              </w:rPr>
              <w:t>）中的措施要求</w:t>
            </w:r>
            <w:r>
              <w:rPr>
                <w:rFonts w:hint="eastAsia"/>
                <w:color w:val="auto"/>
                <w:sz w:val="24"/>
              </w:rPr>
              <w:t>。</w:t>
            </w:r>
            <w:r>
              <w:rPr>
                <w:rFonts w:hint="eastAsia"/>
                <w:color w:val="auto"/>
                <w:spacing w:val="-5"/>
                <w:sz w:val="24"/>
                <w:szCs w:val="21"/>
              </w:rPr>
              <w:t>因此，属于可行性技术。</w:t>
            </w:r>
            <w:r>
              <w:rPr>
                <w:rFonts w:hint="eastAsia"/>
                <w:color w:val="auto"/>
                <w:spacing w:val="-5"/>
                <w:sz w:val="24"/>
                <w:szCs w:val="21"/>
                <w:lang w:val="en-US" w:eastAsia="zh-CN"/>
              </w:rPr>
              <w:t>同时根据</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cs="Times New Roman"/>
                <w:color w:val="auto"/>
                <w:kern w:val="0"/>
                <w:sz w:val="24"/>
                <w:szCs w:val="24"/>
                <w:highlight w:val="none"/>
                <w:u w:val="none" w:color="000000"/>
                <w:lang w:val="en-US" w:eastAsia="zh-CN" w:bidi="ar-SA"/>
              </w:rPr>
              <w:t>锅炉</w:t>
            </w:r>
            <w:r>
              <w:rPr>
                <w:rFonts w:hint="default" w:ascii="Times New Roman" w:hAnsi="Times New Roman" w:eastAsia="宋体" w:cs="Times New Roman"/>
                <w:color w:val="auto"/>
                <w:kern w:val="0"/>
                <w:sz w:val="24"/>
                <w:szCs w:val="24"/>
                <w:highlight w:val="none"/>
                <w:u w:val="none" w:color="000000"/>
                <w:lang w:val="en-US" w:eastAsia="zh-CN" w:bidi="ar-SA"/>
              </w:rPr>
              <w:t>大气污染物排放标准》</w:t>
            </w:r>
            <w:r>
              <w:rPr>
                <w:rFonts w:hint="eastAsia" w:cs="Times New Roman"/>
                <w:color w:val="auto"/>
                <w:kern w:val="0"/>
                <w:sz w:val="24"/>
                <w:szCs w:val="24"/>
                <w:highlight w:val="none"/>
                <w:u w:val="none" w:color="000000"/>
                <w:lang w:val="en-US" w:eastAsia="zh-CN" w:bidi="ar-SA"/>
              </w:rPr>
              <w:t>（</w:t>
            </w:r>
            <w:r>
              <w:rPr>
                <w:rFonts w:hint="default" w:ascii="Times New Roman" w:hAnsi="Times New Roman" w:eastAsia="宋体" w:cs="Times New Roman"/>
                <w:color w:val="auto"/>
                <w:kern w:val="0"/>
                <w:sz w:val="24"/>
                <w:szCs w:val="24"/>
                <w:highlight w:val="none"/>
                <w:u w:val="none" w:color="000000"/>
                <w:lang w:val="en-US" w:eastAsia="zh-CN" w:bidi="ar-SA"/>
              </w:rPr>
              <w:t>GB 13271-2014</w:t>
            </w:r>
            <w:r>
              <w:rPr>
                <w:rFonts w:hint="eastAsia"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要求，参照</w:t>
            </w:r>
            <w:r>
              <w:rPr>
                <w:rFonts w:hint="eastAsia" w:cs="Times New Roman"/>
                <w:color w:val="auto"/>
                <w:kern w:val="0"/>
                <w:sz w:val="24"/>
                <w:szCs w:val="24"/>
                <w:highlight w:val="none"/>
                <w:u w:val="none" w:color="000000"/>
                <w:lang w:val="en-US" w:eastAsia="zh-CN" w:bidi="ar-SA"/>
              </w:rPr>
              <w:t>燃煤锅炉（1.4-2.8MW）</w:t>
            </w:r>
            <w:r>
              <w:rPr>
                <w:rFonts w:hint="eastAsia" w:ascii="Times New Roman" w:hAnsi="Times New Roman" w:eastAsia="宋体" w:cs="Times New Roman"/>
                <w:color w:val="auto"/>
                <w:kern w:val="0"/>
                <w:sz w:val="24"/>
                <w:szCs w:val="24"/>
                <w:highlight w:val="none"/>
                <w:u w:val="none" w:color="000000"/>
                <w:lang w:val="en-US" w:eastAsia="zh-CN" w:bidi="ar-SA"/>
              </w:rPr>
              <w:t>烟囱最低允许高度为</w:t>
            </w:r>
            <w:r>
              <w:rPr>
                <w:rFonts w:hint="eastAsia" w:cs="Times New Roman"/>
                <w:color w:val="auto"/>
                <w:kern w:val="0"/>
                <w:sz w:val="24"/>
                <w:szCs w:val="24"/>
                <w:highlight w:val="none"/>
                <w:u w:val="none" w:color="000000"/>
                <w:lang w:val="en-US" w:eastAsia="zh-CN" w:bidi="ar-SA"/>
              </w:rPr>
              <w:t>30</w:t>
            </w:r>
            <w:r>
              <w:rPr>
                <w:rFonts w:hint="eastAsia" w:ascii="Times New Roman" w:hAnsi="Times New Roman" w:eastAsia="宋体" w:cs="Times New Roman"/>
                <w:color w:val="auto"/>
                <w:kern w:val="0"/>
                <w:sz w:val="24"/>
                <w:szCs w:val="24"/>
                <w:highlight w:val="none"/>
                <w:u w:val="none" w:color="000000"/>
                <w:lang w:val="en-US" w:eastAsia="zh-CN" w:bidi="ar-SA"/>
              </w:rPr>
              <w:t>m，当烟囱</w:t>
            </w:r>
            <w:r>
              <w:rPr>
                <w:rFonts w:hint="eastAsia"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或排</w:t>
            </w:r>
            <w:r>
              <w:rPr>
                <w:rFonts w:hint="eastAsia" w:cs="Times New Roman"/>
                <w:color w:val="auto"/>
                <w:kern w:val="0"/>
                <w:sz w:val="24"/>
                <w:szCs w:val="24"/>
                <w:highlight w:val="none"/>
                <w:u w:val="none" w:color="000000"/>
                <w:lang w:val="en-US" w:eastAsia="zh-CN" w:bidi="ar-SA"/>
              </w:rPr>
              <w:t>气筒）</w:t>
            </w:r>
            <w:r>
              <w:rPr>
                <w:rFonts w:hint="eastAsia" w:ascii="Times New Roman" w:hAnsi="Times New Roman" w:eastAsia="宋体" w:cs="Times New Roman"/>
                <w:color w:val="auto"/>
                <w:kern w:val="0"/>
                <w:sz w:val="24"/>
                <w:szCs w:val="24"/>
                <w:highlight w:val="none"/>
                <w:u w:val="none" w:color="000000"/>
                <w:lang w:val="en-US" w:eastAsia="zh-CN" w:bidi="ar-SA"/>
              </w:rPr>
              <w:t>周围半径200m距离内有建筑物时，应高出最高建筑物3m以上，本项目排气筒高度30m，周边200米范围内建筑最高高度</w:t>
            </w:r>
            <w:r>
              <w:rPr>
                <w:rFonts w:hint="eastAsia" w:cs="Times New Roman"/>
                <w:color w:val="auto"/>
                <w:kern w:val="0"/>
                <w:sz w:val="24"/>
                <w:szCs w:val="24"/>
                <w:highlight w:val="none"/>
                <w:u w:val="none" w:color="000000"/>
                <w:lang w:val="en-US" w:eastAsia="zh-CN" w:bidi="ar-SA"/>
              </w:rPr>
              <w:t>6</w:t>
            </w:r>
            <w:r>
              <w:rPr>
                <w:rFonts w:hint="eastAsia" w:ascii="Times New Roman" w:hAnsi="Times New Roman" w:eastAsia="宋体" w:cs="Times New Roman"/>
                <w:color w:val="auto"/>
                <w:kern w:val="0"/>
                <w:sz w:val="24"/>
                <w:szCs w:val="24"/>
                <w:highlight w:val="none"/>
                <w:u w:val="none" w:color="000000"/>
                <w:lang w:val="en-US" w:eastAsia="zh-CN" w:bidi="ar-SA"/>
              </w:rPr>
              <w:t>m，因此本项目符合排气筒设置规范。</w:t>
            </w:r>
          </w:p>
          <w:p>
            <w:pPr>
              <w:pStyle w:val="120"/>
              <w:adjustRightInd w:val="0"/>
              <w:spacing w:line="336" w:lineRule="auto"/>
              <w:ind w:firstLine="480"/>
              <w:rPr>
                <w:rFonts w:hint="eastAsia"/>
                <w:color w:val="auto"/>
                <w:sz w:val="24"/>
              </w:rPr>
            </w:pPr>
            <w:r>
              <w:rPr>
                <w:color w:val="auto"/>
                <w:spacing w:val="-5"/>
                <w:sz w:val="24"/>
                <w:szCs w:val="21"/>
              </w:rPr>
              <w:t>综上所述，本项目采取的污染防治措施是可行的，产生的大气污染物经上述污染防治措施处理后对周围环境产生的影响较小，可以接受</w:t>
            </w:r>
            <w:r>
              <w:rPr>
                <w:rFonts w:hint="eastAsia"/>
                <w:color w:val="auto"/>
                <w:spacing w:val="-5"/>
                <w:sz w:val="24"/>
                <w:szCs w:val="21"/>
              </w:rPr>
              <w:t>。</w:t>
            </w:r>
          </w:p>
          <w:p>
            <w:pPr>
              <w:snapToGrid w:val="0"/>
              <w:spacing w:line="360" w:lineRule="auto"/>
              <w:ind w:firstLine="482" w:firstLineChars="200"/>
              <w:rPr>
                <w:b/>
                <w:bCs/>
                <w:color w:val="auto"/>
                <w:sz w:val="24"/>
              </w:rPr>
            </w:pPr>
            <w:r>
              <w:rPr>
                <w:b/>
                <w:bCs/>
                <w:color w:val="auto"/>
                <w:sz w:val="24"/>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bookmarkStart w:id="36" w:name="_Hlk77175626"/>
            <w:bookmarkStart w:id="37" w:name="_Hlk37492900"/>
            <w:r>
              <w:rPr>
                <w:iCs/>
                <w:color w:val="auto"/>
                <w:sz w:val="24"/>
              </w:rPr>
              <w:t>本</w:t>
            </w:r>
            <w:r>
              <w:rPr>
                <w:bCs/>
                <w:iCs/>
                <w:color w:val="auto"/>
                <w:sz w:val="24"/>
              </w:rPr>
              <w:t>项目</w:t>
            </w:r>
            <w:r>
              <w:rPr>
                <w:color w:val="auto"/>
                <w:sz w:val="24"/>
              </w:rPr>
              <w:t>生活污水产生量</w:t>
            </w:r>
            <w:r>
              <w:rPr>
                <w:rFonts w:hint="eastAsia"/>
                <w:color w:val="auto"/>
                <w:sz w:val="24"/>
              </w:rPr>
              <w:t>约</w:t>
            </w:r>
            <w:r>
              <w:rPr>
                <w:color w:val="auto"/>
                <w:sz w:val="24"/>
              </w:rPr>
              <w:t>为</w:t>
            </w:r>
            <w:bookmarkEnd w:id="36"/>
            <w:r>
              <w:rPr>
                <w:rFonts w:hint="eastAsia"/>
                <w:color w:val="auto"/>
                <w:sz w:val="24"/>
                <w:lang w:val="en-US" w:eastAsia="zh-CN"/>
              </w:rPr>
              <w:t>40.32t/a</w:t>
            </w:r>
            <w:r>
              <w:rPr>
                <w:rFonts w:hint="eastAsia"/>
                <w:bCs/>
                <w:color w:val="auto"/>
                <w:sz w:val="24"/>
              </w:rPr>
              <w:t>，</w:t>
            </w:r>
            <w:bookmarkStart w:id="38" w:name="OLE_LINK2"/>
            <w:r>
              <w:rPr>
                <w:rFonts w:hint="eastAsia"/>
                <w:bCs/>
                <w:color w:val="auto"/>
                <w:sz w:val="24"/>
                <w:lang w:val="en-US" w:eastAsia="zh-CN"/>
              </w:rPr>
              <w:t>类比同类项目，</w:t>
            </w:r>
            <w:r>
              <w:rPr>
                <w:rFonts w:hint="eastAsia" w:cs="Times New Roman"/>
                <w:color w:val="auto"/>
                <w:kern w:val="0"/>
                <w:sz w:val="24"/>
                <w:szCs w:val="24"/>
                <w:highlight w:val="none"/>
                <w:lang w:val="en-US" w:eastAsia="zh-CN"/>
              </w:rPr>
              <w:t>生活污</w:t>
            </w:r>
            <w:r>
              <w:rPr>
                <w:rFonts w:hint="default" w:ascii="Times New Roman" w:hAnsi="Times New Roman" w:eastAsia="宋体" w:cs="Times New Roman"/>
                <w:color w:val="auto"/>
                <w:kern w:val="0"/>
                <w:sz w:val="24"/>
                <w:szCs w:val="24"/>
                <w:lang w:val="en-US" w:eastAsia="zh-CN"/>
              </w:rPr>
              <w:t>水污染物浓度为COD 300mg/L、氨氮</w:t>
            </w:r>
            <w:r>
              <w:rPr>
                <w:rFonts w:hint="eastAsia" w:cs="Times New Roman"/>
                <w:color w:val="auto"/>
                <w:kern w:val="0"/>
                <w:sz w:val="24"/>
                <w:szCs w:val="24"/>
                <w:lang w:val="en-US" w:eastAsia="zh-CN"/>
              </w:rPr>
              <w:t>25</w:t>
            </w:r>
            <w:r>
              <w:rPr>
                <w:rFonts w:hint="default" w:ascii="Times New Roman" w:hAnsi="Times New Roman" w:eastAsia="宋体" w:cs="Times New Roman"/>
                <w:color w:val="auto"/>
                <w:kern w:val="0"/>
                <w:sz w:val="24"/>
                <w:szCs w:val="24"/>
                <w:lang w:val="en-US" w:eastAsia="zh-CN"/>
              </w:rPr>
              <w:t>mg/L，</w:t>
            </w:r>
            <w:bookmarkEnd w:id="38"/>
            <w:r>
              <w:rPr>
                <w:rFonts w:hint="eastAsia" w:cs="Times New Roman"/>
                <w:color w:val="auto"/>
                <w:kern w:val="0"/>
                <w:sz w:val="24"/>
                <w:szCs w:val="24"/>
                <w:lang w:val="en-US" w:eastAsia="zh-CN"/>
              </w:rPr>
              <w:t>生活污水中COD产生量为0.012t/a，0.001t/a；</w:t>
            </w:r>
            <w:r>
              <w:rPr>
                <w:color w:val="auto"/>
                <w:sz w:val="24"/>
              </w:rPr>
              <w:t>根据《</w:t>
            </w:r>
            <w:r>
              <w:rPr>
                <w:rFonts w:hint="eastAsia"/>
                <w:color w:val="auto"/>
                <w:sz w:val="24"/>
              </w:rPr>
              <w:t>排放源统计调查产排污核算方法和系数手册》中“4430工业锅炉（热力供应）行业系数手册”中产污系数</w:t>
            </w:r>
            <w:r>
              <w:rPr>
                <w:color w:val="auto"/>
                <w:sz w:val="24"/>
              </w:rPr>
              <w:t>，燃生物质锅炉（锅</w:t>
            </w:r>
            <w:r>
              <w:rPr>
                <w:rFonts w:hint="eastAsia"/>
                <w:color w:val="auto"/>
                <w:sz w:val="24"/>
                <w:lang w:val="en-US" w:eastAsia="zh-CN"/>
              </w:rPr>
              <w:t>外</w:t>
            </w:r>
            <w:r>
              <w:rPr>
                <w:color w:val="auto"/>
                <w:sz w:val="24"/>
              </w:rPr>
              <w:t>水处理）</w:t>
            </w:r>
            <w:r>
              <w:rPr>
                <w:rFonts w:hint="eastAsia"/>
                <w:color w:val="auto"/>
                <w:sz w:val="24"/>
                <w:lang w:eastAsia="zh-CN"/>
              </w:rPr>
              <w:t>废水产生系数为</w:t>
            </w:r>
            <w:r>
              <w:rPr>
                <w:color w:val="auto"/>
                <w:sz w:val="24"/>
              </w:rPr>
              <w:t>0.</w:t>
            </w:r>
            <w:r>
              <w:rPr>
                <w:rFonts w:hint="eastAsia"/>
                <w:color w:val="auto"/>
                <w:sz w:val="24"/>
                <w:lang w:val="en-US" w:eastAsia="zh-CN"/>
              </w:rPr>
              <w:t>356</w:t>
            </w:r>
            <w:r>
              <w:rPr>
                <w:color w:val="auto"/>
                <w:sz w:val="24"/>
              </w:rPr>
              <w:t>吨/吨-原料，本项目生物质成型燃料使用量为</w:t>
            </w:r>
            <w:r>
              <w:rPr>
                <w:rFonts w:hint="eastAsia"/>
                <w:color w:val="auto"/>
                <w:sz w:val="24"/>
                <w:lang w:val="en-US" w:eastAsia="zh-CN"/>
              </w:rPr>
              <w:t>2996</w:t>
            </w:r>
            <w:r>
              <w:rPr>
                <w:color w:val="auto"/>
                <w:sz w:val="24"/>
              </w:rPr>
              <w:t>t/a，则锅炉排污水总的产生量为</w:t>
            </w:r>
            <w:r>
              <w:rPr>
                <w:rFonts w:hint="eastAsia"/>
                <w:color w:val="auto"/>
                <w:sz w:val="24"/>
                <w:lang w:val="en-US" w:eastAsia="zh-CN"/>
              </w:rPr>
              <w:t>5.08</w:t>
            </w:r>
            <w:r>
              <w:rPr>
                <w:rFonts w:hint="eastAsia"/>
                <w:color w:val="auto"/>
                <w:sz w:val="24"/>
              </w:rPr>
              <w:t>t/d，</w:t>
            </w:r>
            <w:r>
              <w:rPr>
                <w:rFonts w:hint="eastAsia"/>
                <w:color w:val="auto"/>
                <w:kern w:val="0"/>
                <w:sz w:val="24"/>
                <w:lang w:val="en-US" w:eastAsia="zh-CN"/>
              </w:rPr>
              <w:t>1066.58</w:t>
            </w:r>
            <w:r>
              <w:rPr>
                <w:color w:val="auto"/>
                <w:sz w:val="24"/>
              </w:rPr>
              <w:t>t/a。</w:t>
            </w:r>
            <w:r>
              <w:rPr>
                <w:rFonts w:hint="eastAsia" w:cs="Times New Roman"/>
                <w:color w:val="auto"/>
                <w:kern w:val="0"/>
                <w:sz w:val="24"/>
                <w:szCs w:val="24"/>
                <w:lang w:val="en-US" w:eastAsia="zh-CN"/>
              </w:rPr>
              <w:t>COD产生量为30克</w:t>
            </w:r>
            <w:r>
              <w:rPr>
                <w:color w:val="auto"/>
                <w:sz w:val="24"/>
              </w:rPr>
              <w:t>/吨-原料</w:t>
            </w:r>
            <w:r>
              <w:rPr>
                <w:rFonts w:hint="eastAsia"/>
                <w:color w:val="auto"/>
                <w:sz w:val="24"/>
                <w:lang w:eastAsia="zh-CN"/>
              </w:rPr>
              <w:t>，</w:t>
            </w:r>
            <w:r>
              <w:rPr>
                <w:rFonts w:hint="eastAsia"/>
                <w:color w:val="auto"/>
                <w:sz w:val="24"/>
                <w:lang w:val="en-US" w:eastAsia="zh-CN"/>
              </w:rPr>
              <w:t>COD产生量为0.090t/a，COD</w:t>
            </w:r>
            <w:r>
              <w:rPr>
                <w:rFonts w:hint="eastAsia" w:cs="Times New Roman"/>
                <w:color w:val="auto"/>
                <w:kern w:val="0"/>
                <w:sz w:val="24"/>
                <w:szCs w:val="24"/>
                <w:lang w:val="en-US" w:eastAsia="zh-CN"/>
              </w:rPr>
              <w:t>浓度为84.27mg/L。</w:t>
            </w:r>
            <w:r>
              <w:rPr>
                <w:rFonts w:hint="eastAsia"/>
                <w:color w:val="auto"/>
                <w:sz w:val="24"/>
                <w:lang w:val="en-US" w:eastAsia="zh-CN"/>
              </w:rPr>
              <w:t>锅炉废水和软化水处理废水排入沉淀池内，定期加入絮凝剂（PAC）一部分用于灰渣降尘，一部分用于厂区降尘，锅炉废水和软化水处理废水成分简单，不含重金属污染物，因此锅炉废水和软化水处理废水经沉淀后用于灰渣、厂区降尘是可行的；生活污水经化粪池处理后定期清掏，外运堆肥，不外排</w:t>
            </w:r>
            <w:r>
              <w:rPr>
                <w:color w:val="auto"/>
                <w:sz w:val="24"/>
              </w:rPr>
              <w:t>。</w:t>
            </w:r>
          </w:p>
          <w:bookmarkEnd w:id="37"/>
          <w:p>
            <w:pPr>
              <w:snapToGrid w:val="0"/>
              <w:spacing w:line="360" w:lineRule="auto"/>
              <w:ind w:firstLine="482" w:firstLineChars="200"/>
              <w:rPr>
                <w:b/>
                <w:bCs/>
                <w:color w:val="auto"/>
                <w:sz w:val="24"/>
              </w:rPr>
            </w:pPr>
            <w:r>
              <w:rPr>
                <w:b/>
                <w:bCs/>
                <w:color w:val="auto"/>
                <w:sz w:val="24"/>
              </w:rPr>
              <w:t>3、噪声</w:t>
            </w:r>
          </w:p>
          <w:p>
            <w:pPr>
              <w:widowControl/>
              <w:spacing w:line="360" w:lineRule="auto"/>
              <w:ind w:firstLine="480"/>
              <w:rPr>
                <w:color w:val="auto"/>
                <w:kern w:val="0"/>
                <w:sz w:val="24"/>
              </w:rPr>
            </w:pPr>
            <w:r>
              <w:rPr>
                <w:rFonts w:hint="eastAsia"/>
                <w:color w:val="auto"/>
                <w:kern w:val="0"/>
                <w:sz w:val="24"/>
              </w:rPr>
              <w:t>（1）噪声源强</w:t>
            </w:r>
          </w:p>
          <w:p>
            <w:pPr>
              <w:widowControl/>
              <w:spacing w:line="360" w:lineRule="auto"/>
              <w:ind w:firstLine="480"/>
              <w:rPr>
                <w:color w:val="auto"/>
                <w:kern w:val="0"/>
                <w:sz w:val="24"/>
              </w:rPr>
            </w:pPr>
            <w:r>
              <w:rPr>
                <w:color w:val="auto"/>
                <w:kern w:val="0"/>
                <w:sz w:val="24"/>
              </w:rPr>
              <w:t>噪声主要来源于运转的设备，设备噪声源主要为</w:t>
            </w:r>
            <w:bookmarkStart w:id="39" w:name="_Hlk77175645"/>
            <w:r>
              <w:rPr>
                <w:color w:val="auto"/>
                <w:kern w:val="0"/>
                <w:sz w:val="24"/>
              </w:rPr>
              <w:t>锅炉房风机等</w:t>
            </w:r>
            <w:bookmarkEnd w:id="39"/>
            <w:r>
              <w:rPr>
                <w:color w:val="auto"/>
                <w:kern w:val="0"/>
                <w:sz w:val="24"/>
              </w:rPr>
              <w:t>，其噪声级范围在</w:t>
            </w:r>
            <w:r>
              <w:rPr>
                <w:rFonts w:hint="eastAsia"/>
                <w:color w:val="auto"/>
                <w:kern w:val="0"/>
                <w:sz w:val="24"/>
                <w:lang w:val="en-US" w:eastAsia="zh-CN"/>
              </w:rPr>
              <w:t>65</w:t>
            </w:r>
            <w:r>
              <w:rPr>
                <w:color w:val="auto"/>
                <w:sz w:val="24"/>
              </w:rPr>
              <w:t>～</w:t>
            </w:r>
            <w:r>
              <w:rPr>
                <w:color w:val="auto"/>
                <w:kern w:val="0"/>
                <w:sz w:val="24"/>
              </w:rPr>
              <w:t>7</w:t>
            </w:r>
            <w:r>
              <w:rPr>
                <w:rFonts w:hint="eastAsia"/>
                <w:color w:val="auto"/>
                <w:kern w:val="0"/>
                <w:sz w:val="24"/>
                <w:lang w:val="en-US" w:eastAsia="zh-CN"/>
              </w:rPr>
              <w:t>0</w:t>
            </w:r>
            <w:r>
              <w:rPr>
                <w:color w:val="auto"/>
                <w:kern w:val="0"/>
                <w:sz w:val="24"/>
              </w:rPr>
              <w:t>dB（A）之间。详见下表。</w:t>
            </w:r>
          </w:p>
          <w:p>
            <w:pPr>
              <w:autoSpaceDE w:val="0"/>
              <w:autoSpaceDN w:val="0"/>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32"/>
                <w:highlight w:val="none"/>
              </w:rPr>
              <w:t>表4-</w:t>
            </w:r>
            <w:r>
              <w:rPr>
                <w:rFonts w:hint="eastAsia" w:cs="Times New Roman"/>
                <w:b/>
                <w:bCs/>
                <w:color w:val="auto"/>
                <w:sz w:val="24"/>
                <w:szCs w:val="32"/>
                <w:highlight w:val="none"/>
                <w:lang w:val="en-US" w:eastAsia="zh-CN"/>
              </w:rPr>
              <w:t>7</w:t>
            </w:r>
            <w:r>
              <w:rPr>
                <w:rFonts w:hint="default" w:ascii="Times New Roman" w:hAnsi="Times New Roman" w:eastAsia="宋体" w:cs="Times New Roman"/>
                <w:b/>
                <w:bCs/>
                <w:color w:val="auto"/>
                <w:sz w:val="24"/>
                <w:szCs w:val="32"/>
                <w:highlight w:val="none"/>
              </w:rPr>
              <w:t xml:space="preserve"> 噪声污染源源强核算结果及相关参数一览表</w:t>
            </w:r>
          </w:p>
          <w:tbl>
            <w:tblPr>
              <w:tblStyle w:val="30"/>
              <w:tblW w:w="84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421"/>
              <w:gridCol w:w="421"/>
              <w:gridCol w:w="802"/>
              <w:gridCol w:w="629"/>
              <w:gridCol w:w="421"/>
              <w:gridCol w:w="362"/>
              <w:gridCol w:w="343"/>
              <w:gridCol w:w="682"/>
              <w:gridCol w:w="802"/>
              <w:gridCol w:w="457"/>
              <w:gridCol w:w="802"/>
              <w:gridCol w:w="802"/>
              <w:gridCol w:w="421"/>
              <w:gridCol w:w="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2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建筑物名称</w:t>
                  </w:r>
                </w:p>
              </w:tc>
              <w:tc>
                <w:tcPr>
                  <w:tcW w:w="42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声源名称</w:t>
                  </w:r>
                </w:p>
              </w:tc>
              <w:tc>
                <w:tcPr>
                  <w:tcW w:w="80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声源源强/dB(A)</w:t>
                  </w:r>
                </w:p>
              </w:tc>
              <w:tc>
                <w:tcPr>
                  <w:tcW w:w="62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降噪措施</w:t>
                  </w:r>
                </w:p>
              </w:tc>
              <w:tc>
                <w:tcPr>
                  <w:tcW w:w="1126" w:type="dxa"/>
                  <w:gridSpan w:val="3"/>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空间相对位置/m</w:t>
                  </w:r>
                </w:p>
              </w:tc>
              <w:tc>
                <w:tcPr>
                  <w:tcW w:w="68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距室内边界距离/m</w:t>
                  </w:r>
                </w:p>
              </w:tc>
              <w:tc>
                <w:tcPr>
                  <w:tcW w:w="80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室内边界声级/dB(A)</w:t>
                  </w:r>
                </w:p>
              </w:tc>
              <w:tc>
                <w:tcPr>
                  <w:tcW w:w="457"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运行时段</w:t>
                  </w:r>
                </w:p>
              </w:tc>
              <w:tc>
                <w:tcPr>
                  <w:tcW w:w="80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建筑物插入损失/dB(A)</w:t>
                  </w:r>
                </w:p>
              </w:tc>
              <w:tc>
                <w:tcPr>
                  <w:tcW w:w="1223" w:type="dxa"/>
                  <w:gridSpan w:val="2"/>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建筑物外噪声</w:t>
                  </w:r>
                </w:p>
              </w:tc>
              <w:tc>
                <w:tcPr>
                  <w:tcW w:w="663"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62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X</w:t>
                  </w:r>
                </w:p>
              </w:tc>
              <w:tc>
                <w:tcPr>
                  <w:tcW w:w="36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Y</w:t>
                  </w:r>
                </w:p>
              </w:tc>
              <w:tc>
                <w:tcPr>
                  <w:tcW w:w="343"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Z</w:t>
                  </w:r>
                </w:p>
              </w:tc>
              <w:tc>
                <w:tcPr>
                  <w:tcW w:w="68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57"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声压级/dB(A)</w:t>
                  </w: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建筑物外距离</w:t>
                  </w:r>
                </w:p>
              </w:tc>
              <w:tc>
                <w:tcPr>
                  <w:tcW w:w="663"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2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锅炉房</w:t>
                  </w:r>
                </w:p>
              </w:tc>
              <w:tc>
                <w:tcPr>
                  <w:tcW w:w="42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62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厂房隔声、减震、选用隔声门窗</w:t>
                  </w: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0</w:t>
                  </w:r>
                </w:p>
              </w:tc>
              <w:tc>
                <w:tcPr>
                  <w:tcW w:w="3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53</w:t>
                  </w:r>
                </w:p>
              </w:tc>
              <w:tc>
                <w:tcPr>
                  <w:tcW w:w="34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8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2.84</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62.19</w:t>
                  </w:r>
                </w:p>
              </w:tc>
              <w:tc>
                <w:tcPr>
                  <w:tcW w:w="457"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24小时运行</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0</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36.19</w:t>
                  </w:r>
                </w:p>
              </w:tc>
              <w:tc>
                <w:tcPr>
                  <w:tcW w:w="42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6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21" w:type="dxa"/>
                  <w:vMerge w:val="continue"/>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工作</w:t>
                  </w:r>
                  <w:r>
                    <w:rPr>
                      <w:rFonts w:hint="eastAsia" w:ascii="Times New Roman" w:hAnsi="Times New Roman" w:eastAsia="宋体" w:cs="Times New Roman"/>
                      <w:color w:val="auto"/>
                      <w:szCs w:val="21"/>
                      <w:highlight w:val="none"/>
                      <w:lang w:val="en-US" w:eastAsia="zh-CN"/>
                    </w:rPr>
                    <w:t>泵</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65</w:t>
                  </w:r>
                </w:p>
              </w:tc>
              <w:tc>
                <w:tcPr>
                  <w:tcW w:w="62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c>
                <w:tcPr>
                  <w:tcW w:w="3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47</w:t>
                  </w:r>
                </w:p>
              </w:tc>
              <w:tc>
                <w:tcPr>
                  <w:tcW w:w="34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8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4.85</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57.01</w:t>
                  </w:r>
                </w:p>
              </w:tc>
              <w:tc>
                <w:tcPr>
                  <w:tcW w:w="45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24小时运行</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0</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31.01</w:t>
                  </w:r>
                </w:p>
              </w:tc>
              <w:tc>
                <w:tcPr>
                  <w:tcW w:w="42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6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5040</w:t>
                  </w:r>
                </w:p>
              </w:tc>
            </w:tr>
          </w:tbl>
          <w:p>
            <w:pPr>
              <w:keepNext w:val="0"/>
              <w:keepLines w:val="0"/>
              <w:pageBreakBefore w:val="0"/>
              <w:widowControl w:val="0"/>
              <w:kinsoku/>
              <w:wordWrap/>
              <w:overflowPunct/>
              <w:topLinePunct w:val="0"/>
              <w:bidi w:val="0"/>
              <w:spacing w:line="360" w:lineRule="auto"/>
              <w:ind w:left="0" w:firstLine="480"/>
              <w:rPr>
                <w:rFonts w:hint="default" w:eastAsia="宋体"/>
                <w:bCs/>
                <w:color w:val="auto"/>
                <w:sz w:val="20"/>
                <w:szCs w:val="20"/>
                <w:highlight w:val="none"/>
                <w:lang w:val="en-US" w:eastAsia="zh-CN"/>
              </w:rPr>
            </w:pPr>
            <w:r>
              <w:rPr>
                <w:rFonts w:hint="eastAsia"/>
                <w:bCs/>
                <w:color w:val="auto"/>
                <w:sz w:val="20"/>
                <w:szCs w:val="20"/>
                <w:highlight w:val="none"/>
                <w:lang w:val="en-US" w:eastAsia="zh-CN"/>
              </w:rPr>
              <w:t>注：以厂界西南侧为原点。</w:t>
            </w:r>
          </w:p>
          <w:p>
            <w:pPr>
              <w:keepNext w:val="0"/>
              <w:keepLines w:val="0"/>
              <w:pageBreakBefore w:val="0"/>
              <w:widowControl w:val="0"/>
              <w:kinsoku/>
              <w:wordWrap/>
              <w:overflowPunct/>
              <w:topLinePunct w:val="0"/>
              <w:bidi w:val="0"/>
              <w:spacing w:line="360" w:lineRule="auto"/>
              <w:ind w:left="0" w:firstLine="480"/>
              <w:rPr>
                <w:bCs/>
                <w:color w:val="auto"/>
                <w:sz w:val="24"/>
                <w:szCs w:val="24"/>
                <w:highlight w:val="none"/>
              </w:rPr>
            </w:pPr>
            <w:r>
              <w:rPr>
                <w:bCs/>
                <w:color w:val="auto"/>
                <w:sz w:val="24"/>
                <w:szCs w:val="24"/>
                <w:highlight w:val="none"/>
              </w:rPr>
              <w:t>（</w:t>
            </w:r>
            <w:r>
              <w:rPr>
                <w:rFonts w:hint="eastAsia"/>
                <w:bCs/>
                <w:color w:val="auto"/>
                <w:sz w:val="24"/>
                <w:szCs w:val="24"/>
                <w:highlight w:val="none"/>
              </w:rPr>
              <w:t>2</w:t>
            </w:r>
            <w:r>
              <w:rPr>
                <w:bCs/>
                <w:color w:val="auto"/>
                <w:sz w:val="24"/>
                <w:szCs w:val="24"/>
                <w:highlight w:val="none"/>
              </w:rPr>
              <w:t>）预测模式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①某一室内声源靠近围护结构处产生的倍频带声压级</w:t>
            </w:r>
          </w:p>
          <w:p>
            <w:pPr>
              <w:pStyle w:val="127"/>
              <w:adjustRightInd w:val="0"/>
              <w:snapToGrid w:val="0"/>
              <w:spacing w:line="360" w:lineRule="auto"/>
              <w:ind w:left="1320" w:hanging="1320" w:hangingChars="55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9" o:spt="75" type="#_x0000_t75" style="height:41.4pt;width:168.2pt;" o:ole="t" filled="f" o:preferrelative="t" stroked="f" coordsize="21600,21600">
                  <v:path/>
                  <v:fill on="f" focussize="0,0"/>
                  <v:stroke on="f" joinstyle="miter"/>
                  <v:imagedata r:id="rId31" o:title=""/>
                  <o:lock v:ext="edit" aspectratio="t"/>
                  <w10:wrap type="none"/>
                  <w10:anchorlock/>
                </v:shape>
                <o:OLEObject Type="Embed" ProgID="Equation.3" ShapeID="_x0000_i1029" DrawAspect="Content" ObjectID="_1468075729" r:id="rId30">
                  <o:LockedField>false</o:LockedField>
                </o:OLEObject>
              </w:objec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式中：L</w:t>
            </w:r>
            <w:r>
              <w:rPr>
                <w:rFonts w:hint="default" w:ascii="Times New Roman" w:hAnsi="Times New Roman" w:eastAsia="宋体" w:cs="Times New Roman"/>
                <w:b w:val="0"/>
                <w:bCs w:val="0"/>
                <w:color w:val="auto"/>
                <w:spacing w:val="0"/>
                <w:position w:val="0"/>
                <w:sz w:val="24"/>
                <w:szCs w:val="24"/>
                <w:vertAlign w:val="subscript"/>
              </w:rPr>
              <w:t>p1</w:t>
            </w:r>
            <w:r>
              <w:rPr>
                <w:rFonts w:hint="default" w:ascii="Times New Roman" w:hAnsi="Times New Roman" w:eastAsia="宋体" w:cs="Times New Roman"/>
                <w:b w:val="0"/>
                <w:bCs w:val="0"/>
                <w:color w:val="auto"/>
                <w:spacing w:val="0"/>
                <w:position w:val="0"/>
                <w:sz w:val="24"/>
                <w:szCs w:val="24"/>
              </w:rPr>
              <w:t>—靠近开口处（窗户）室内某倍频带的声压级或A声级，dB；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w</w:t>
            </w:r>
            <w:r>
              <w:rPr>
                <w:rFonts w:hint="default" w:ascii="Times New Roman" w:hAnsi="Times New Roman" w:eastAsia="宋体" w:cs="Times New Roman"/>
                <w:b w:val="0"/>
                <w:bCs w:val="0"/>
                <w:color w:val="auto"/>
                <w:spacing w:val="0"/>
                <w:position w:val="0"/>
                <w:sz w:val="24"/>
                <w:szCs w:val="24"/>
              </w:rPr>
              <w:t>—点声源声功率级（A计权或倍频带），dB；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Q—指向性因数，通常对无指向性声源，当声源放在房间中心时，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=1，当放在一面墙的中心时，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=2；当放在两面墙夹角处时，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=4，当放在三面墙夹角处时，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=8；</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—房间常数，</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α/(1−α</w:t>
            </w:r>
            <w:r>
              <w:rPr>
                <w:rFonts w:hint="eastAsia"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为房间内表面面积，m</w:t>
            </w:r>
            <w:r>
              <w:rPr>
                <w:rFonts w:hint="default" w:ascii="Times New Roman" w:hAnsi="Times New Roman" w:eastAsia="宋体" w:cs="Times New Roman"/>
                <w:b w:val="0"/>
                <w:bCs w:val="0"/>
                <w:color w:val="auto"/>
                <w:spacing w:val="0"/>
                <w:position w:val="0"/>
                <w:sz w:val="24"/>
                <w:szCs w:val="24"/>
                <w:vertAlign w:val="superscript"/>
              </w:rPr>
              <w:t>2</w:t>
            </w:r>
            <w:r>
              <w:rPr>
                <w:rFonts w:hint="default" w:ascii="Times New Roman" w:hAnsi="Times New Roman" w:eastAsia="宋体" w:cs="Times New Roman"/>
                <w:b w:val="0"/>
                <w:bCs w:val="0"/>
                <w:color w:val="auto"/>
                <w:spacing w:val="0"/>
                <w:position w:val="0"/>
                <w:sz w:val="24"/>
                <w:szCs w:val="24"/>
              </w:rPr>
              <w:t>，α为平均吸声系数；</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—声源到靠近围护结构某点处的距离，m。</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②所有室内声源在围护结构处产生的</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倍频带叠加声压级：</w:t>
            </w:r>
          </w:p>
          <w:p>
            <w:pPr>
              <w:pStyle w:val="127"/>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0" o:spt="75" type="#_x0000_t75" style="height:42.7pt;width:143.35pt;" o:ole="t" filled="f" o:preferrelative="t" stroked="f" coordsize="21600,21600">
                  <v:path/>
                  <v:fill on="f" focussize="0,0"/>
                  <v:stroke on="f" joinstyle="miter"/>
                  <v:imagedata r:id="rId33" o:title=""/>
                  <o:lock v:ext="edit" aspectratio="t"/>
                  <w10:wrap type="none"/>
                  <w10:anchorlock/>
                </v:shape>
                <o:OLEObject Type="Embed" ProgID="Equation.3" ShapeID="_x0000_i1030" DrawAspect="Content" ObjectID="_1468075730" r:id="rId32">
                  <o:LockedField>false</o:LockedField>
                </o:OLEObject>
              </w:objec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p1i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T</w:t>
            </w:r>
            <w:r>
              <w:rPr>
                <w:rFonts w:hint="default" w:ascii="Times New Roman" w:hAnsi="Times New Roman" w:eastAsia="宋体" w:cs="Times New Roman"/>
                <w:b w:val="0"/>
                <w:bCs w:val="0"/>
                <w:color w:val="auto"/>
                <w:spacing w:val="0"/>
                <w:position w:val="0"/>
                <w:sz w:val="24"/>
                <w:szCs w:val="24"/>
              </w:rPr>
              <w:t>)—靠近围护结构处室内</w:t>
            </w:r>
            <w:r>
              <w:rPr>
                <w:rFonts w:hint="default" w:ascii="Times New Roman" w:hAnsi="Times New Roman" w:eastAsia="宋体" w:cs="Times New Roman"/>
                <w:b w:val="0"/>
                <w:bCs w:val="0"/>
                <w:i/>
                <w:iCs/>
                <w:color w:val="auto"/>
                <w:spacing w:val="0"/>
                <w:position w:val="0"/>
                <w:sz w:val="24"/>
                <w:szCs w:val="24"/>
              </w:rPr>
              <w:t>N</w:t>
            </w:r>
            <w:r>
              <w:rPr>
                <w:rFonts w:hint="default" w:ascii="Times New Roman" w:hAnsi="Times New Roman" w:eastAsia="宋体" w:cs="Times New Roman"/>
                <w:b w:val="0"/>
                <w:bCs w:val="0"/>
                <w:color w:val="auto"/>
                <w:spacing w:val="0"/>
                <w:position w:val="0"/>
                <w:sz w:val="24"/>
                <w:szCs w:val="24"/>
              </w:rPr>
              <w:t>个声源</w:t>
            </w:r>
            <w:r>
              <w:rPr>
                <w:rFonts w:hint="default" w:ascii="Times New Roman" w:hAnsi="Times New Roman" w:eastAsia="宋体" w:cs="Times New Roman"/>
                <w:b w:val="0"/>
                <w:bCs w:val="0"/>
                <w:i/>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倍频带的叠加声压级，dB；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L</w:t>
            </w:r>
            <w:r>
              <w:rPr>
                <w:rFonts w:hint="default" w:ascii="Times New Roman" w:hAnsi="Times New Roman" w:eastAsia="宋体" w:cs="Times New Roman"/>
                <w:b w:val="0"/>
                <w:bCs w:val="0"/>
                <w:iCs/>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vertAlign w:val="subscript"/>
              </w:rPr>
              <w:t>1</w:t>
            </w:r>
            <w:r>
              <w:rPr>
                <w:rFonts w:hint="default" w:ascii="Times New Roman" w:hAnsi="Times New Roman" w:eastAsia="宋体" w:cs="Times New Roman"/>
                <w:b w:val="0"/>
                <w:bCs w:val="0"/>
                <w:iCs/>
                <w:color w:val="auto"/>
                <w:spacing w:val="0"/>
                <w:position w:val="0"/>
                <w:sz w:val="24"/>
                <w:szCs w:val="24"/>
                <w:vertAlign w:val="subscript"/>
              </w:rPr>
              <w:t>ij</w:t>
            </w:r>
            <w:r>
              <w:rPr>
                <w:rFonts w:hint="default" w:ascii="Times New Roman" w:hAnsi="Times New Roman" w:eastAsia="宋体" w:cs="Times New Roman"/>
                <w:b w:val="0"/>
                <w:bCs w:val="0"/>
                <w:color w:val="auto"/>
                <w:spacing w:val="0"/>
                <w:position w:val="0"/>
                <w:sz w:val="24"/>
                <w:szCs w:val="24"/>
              </w:rPr>
              <w:t>—室内</w:t>
            </w:r>
            <w:r>
              <w:rPr>
                <w:rFonts w:hint="default" w:ascii="Times New Roman" w:hAnsi="Times New Roman" w:eastAsia="宋体" w:cs="Times New Roman"/>
                <w:b w:val="0"/>
                <w:bCs w:val="0"/>
                <w:iCs/>
                <w:color w:val="auto"/>
                <w:spacing w:val="0"/>
                <w:position w:val="0"/>
                <w:sz w:val="24"/>
                <w:szCs w:val="24"/>
              </w:rPr>
              <w:t>j</w:t>
            </w:r>
            <w:r>
              <w:rPr>
                <w:rFonts w:hint="default" w:ascii="Times New Roman" w:hAnsi="Times New Roman" w:eastAsia="宋体" w:cs="Times New Roman"/>
                <w:b w:val="0"/>
                <w:bCs w:val="0"/>
                <w:color w:val="auto"/>
                <w:spacing w:val="0"/>
                <w:position w:val="0"/>
                <w:sz w:val="24"/>
                <w:szCs w:val="24"/>
              </w:rPr>
              <w:t>声源</w:t>
            </w:r>
            <w:r>
              <w:rPr>
                <w:rFonts w:hint="default" w:ascii="Times New Roman" w:hAnsi="Times New Roman" w:eastAsia="宋体" w:cs="Times New Roman"/>
                <w:b w:val="0"/>
                <w:bCs w:val="0"/>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倍频带的声压级，dB；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N</w:t>
            </w:r>
            <w:r>
              <w:rPr>
                <w:rFonts w:hint="default" w:ascii="Times New Roman" w:hAnsi="Times New Roman" w:eastAsia="宋体" w:cs="Times New Roman"/>
                <w:b w:val="0"/>
                <w:bCs w:val="0"/>
                <w:color w:val="auto"/>
                <w:spacing w:val="0"/>
                <w:position w:val="0"/>
                <w:sz w:val="24"/>
                <w:szCs w:val="24"/>
              </w:rPr>
              <w:t>—室内声源总数。</w:t>
            </w:r>
          </w:p>
          <w:p>
            <w:pPr>
              <w:pStyle w:val="127"/>
              <w:adjustRightInd w:val="0"/>
              <w:snapToGrid w:val="0"/>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③无指向性点声源几何发散衰减的基本公式是：</w:t>
            </w:r>
          </w:p>
          <w:p>
            <w:pPr>
              <w:pStyle w:val="127"/>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1" o:spt="75" type="#_x0000_t75" style="height:36.95pt;width:131.9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p>
          <w:p>
            <w:pPr>
              <w:spacing w:line="360" w:lineRule="auto"/>
              <w:ind w:firstLine="48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)—预测点处声压级，dB；</w:t>
            </w:r>
          </w:p>
          <w:p>
            <w:pPr>
              <w:spacing w:line="360" w:lineRule="auto"/>
              <w:ind w:firstLine="948" w:firstLineChars="395"/>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i/>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处的声压级，dB；</w:t>
            </w:r>
          </w:p>
          <w:p>
            <w:pPr>
              <w:pStyle w:val="127"/>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—预测点距声源的距离；</w:t>
            </w:r>
          </w:p>
          <w:p>
            <w:pPr>
              <w:pStyle w:val="127"/>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—参考位置距声源的距离，m。</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④建设项目声源在预测点产生的等效声级贡献值</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eastAsia" w:ascii="Times New Roman" w:hAnsi="Times New Roman"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计算公式：</w:t>
            </w:r>
          </w:p>
          <w:p>
            <w:pPr>
              <w:pStyle w:val="128"/>
              <w:autoSpaceDE w:val="0"/>
              <w:autoSpaceDN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2" o:spt="75" type="#_x0000_t75" style="height:39.5pt;width:143.35pt;" o:ole="t" filled="f" o:preferrelative="t" stroked="f" coordsize="21600,21600">
                  <v:path/>
                  <v:fill on="f" focussize="0,0"/>
                  <v:stroke on="f" joinstyle="miter"/>
                  <v:imagedata r:id="rId37" o:title=""/>
                  <o:lock v:ext="edit" aspectratio="t"/>
                  <w10:wrap type="none"/>
                  <w10:anchorlock/>
                </v:shape>
                <o:OLEObject Type="Embed" ProgID="Equation.3" ShapeID="_x0000_i1032" DrawAspect="Content" ObjectID="_1468075732" r:id="rId36">
                  <o:LockedField>false</o:LockedField>
                </o:OLEObject>
              </w:objec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Ai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声源在预测点产生的A声级，dB(A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rPr>
              <w:t>—预测计算的时间段，s；</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vertAlign w:val="subscript"/>
              </w:rPr>
              <w:t>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声源在T时段内的运行时间，s。</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预测点的预测等效声级</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w:t>
            </w:r>
            <w:r>
              <w:rPr>
                <w:rFonts w:hint="eastAsia" w:ascii="Times New Roman" w:hAnsi="Times New Roman"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 xml:space="preserve">计算公式： </w:t>
            </w:r>
          </w:p>
          <w:p>
            <w:pPr>
              <w:autoSpaceDE w:val="0"/>
              <w:autoSpaceDN w:val="0"/>
              <w:spacing w:line="360" w:lineRule="auto"/>
              <w:ind w:firstLine="48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3" o:spt="75" type="#_x0000_t75" style="height:24.85pt;width:183.5pt;" o:ole="t" filled="f" o:preferrelative="t" stroked="f" coordsize="21600,21600">
                  <v:path/>
                  <v:fill on="f" focussize="0,0"/>
                  <v:stroke on="f" joinstyle="miter"/>
                  <v:imagedata r:id="rId39" o:title=""/>
                  <o:lock v:ext="edit" aspectratio="t"/>
                  <w10:wrap type="none"/>
                  <w10:anchorlock/>
                </v:shape>
                <o:OLEObject Type="Embed" ProgID="Equation.3" ShapeID="_x0000_i1033" DrawAspect="Content" ObjectID="_1468075733" r:id="rId38">
                  <o:LockedField>false</o:LockedField>
                </o:OLEObject>
              </w:objec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 xml:space="preserve">； </w:t>
            </w:r>
          </w:p>
          <w:p>
            <w:pPr>
              <w:pStyle w:val="129"/>
              <w:spacing w:line="360" w:lineRule="auto"/>
              <w:ind w:firstLine="48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eqb</w:t>
            </w:r>
            <w:r>
              <w:rPr>
                <w:rFonts w:hint="default" w:ascii="Times New Roman" w:hAnsi="Times New Roman" w:eastAsia="宋体" w:cs="Times New Roman"/>
                <w:b w:val="0"/>
                <w:bCs w:val="0"/>
                <w:color w:val="auto"/>
                <w:spacing w:val="0"/>
                <w:position w:val="0"/>
                <w:sz w:val="24"/>
                <w:szCs w:val="24"/>
              </w:rPr>
              <w:t>—预测点的背景值，dB(A</w:t>
            </w:r>
            <w:r>
              <w:rPr>
                <w:rFonts w:hint="eastAsia"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⑤户外声传播衰减计算</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户外声传播衰减包括几何发散（A</w:t>
            </w:r>
            <w:r>
              <w:rPr>
                <w:rFonts w:hint="default" w:ascii="Times New Roman" w:hAnsi="Times New Roman" w:eastAsia="宋体" w:cs="Times New Roman"/>
                <w:b w:val="0"/>
                <w:bCs w:val="0"/>
                <w:color w:val="auto"/>
                <w:spacing w:val="0"/>
                <w:position w:val="0"/>
                <w:sz w:val="24"/>
                <w:szCs w:val="24"/>
                <w:vertAlign w:val="subscript"/>
              </w:rPr>
              <w:t>div</w:t>
            </w:r>
            <w:r>
              <w:rPr>
                <w:rFonts w:hint="default" w:ascii="Times New Roman" w:hAnsi="Times New Roman" w:eastAsia="宋体" w:cs="Times New Roman"/>
                <w:b w:val="0"/>
                <w:bCs w:val="0"/>
                <w:color w:val="auto"/>
                <w:spacing w:val="0"/>
                <w:position w:val="0"/>
                <w:sz w:val="24"/>
                <w:szCs w:val="24"/>
              </w:rPr>
              <w:t>）、大气吸收（A</w:t>
            </w:r>
            <w:r>
              <w:rPr>
                <w:rFonts w:hint="default" w:ascii="Times New Roman" w:hAnsi="Times New Roman" w:eastAsia="宋体" w:cs="Times New Roman"/>
                <w:b w:val="0"/>
                <w:bCs w:val="0"/>
                <w:color w:val="auto"/>
                <w:spacing w:val="0"/>
                <w:position w:val="0"/>
                <w:sz w:val="24"/>
                <w:szCs w:val="24"/>
                <w:vertAlign w:val="subscript"/>
              </w:rPr>
              <w:t>atm</w:t>
            </w:r>
            <w:r>
              <w:rPr>
                <w:rFonts w:hint="default" w:ascii="Times New Roman" w:hAnsi="Times New Roman" w:eastAsia="宋体" w:cs="Times New Roman"/>
                <w:b w:val="0"/>
                <w:bCs w:val="0"/>
                <w:color w:val="auto"/>
                <w:spacing w:val="0"/>
                <w:position w:val="0"/>
                <w:sz w:val="24"/>
                <w:szCs w:val="24"/>
              </w:rPr>
              <w:t>）、地面效应（A</w:t>
            </w:r>
            <w:r>
              <w:rPr>
                <w:rFonts w:hint="default" w:ascii="Times New Roman" w:hAnsi="Times New Roman" w:eastAsia="宋体" w:cs="Times New Roman"/>
                <w:b w:val="0"/>
                <w:bCs w:val="0"/>
                <w:color w:val="auto"/>
                <w:spacing w:val="0"/>
                <w:position w:val="0"/>
                <w:sz w:val="24"/>
                <w:szCs w:val="24"/>
                <w:vertAlign w:val="subscript"/>
              </w:rPr>
              <w:t>gr</w:t>
            </w:r>
            <w:r>
              <w:rPr>
                <w:rFonts w:hint="default" w:ascii="Times New Roman" w:hAnsi="Times New Roman" w:eastAsia="宋体" w:cs="Times New Roman"/>
                <w:b w:val="0"/>
                <w:bCs w:val="0"/>
                <w:color w:val="auto"/>
                <w:spacing w:val="0"/>
                <w:position w:val="0"/>
                <w:sz w:val="24"/>
                <w:szCs w:val="24"/>
              </w:rPr>
              <w:t>）、屏障屏蔽（A</w:t>
            </w:r>
            <w:r>
              <w:rPr>
                <w:rFonts w:hint="default" w:ascii="Times New Roman" w:hAnsi="Times New Roman" w:eastAsia="宋体" w:cs="Times New Roman"/>
                <w:b w:val="0"/>
                <w:bCs w:val="0"/>
                <w:color w:val="auto"/>
                <w:spacing w:val="0"/>
                <w:position w:val="0"/>
                <w:sz w:val="24"/>
                <w:szCs w:val="24"/>
                <w:vertAlign w:val="subscript"/>
              </w:rPr>
              <w:t>bar</w:t>
            </w:r>
            <w:r>
              <w:rPr>
                <w:rFonts w:hint="default" w:ascii="Times New Roman" w:hAnsi="Times New Roman" w:eastAsia="宋体" w:cs="Times New Roman"/>
                <w:b w:val="0"/>
                <w:bCs w:val="0"/>
                <w:color w:val="auto"/>
                <w:spacing w:val="0"/>
                <w:position w:val="0"/>
                <w:sz w:val="24"/>
                <w:szCs w:val="24"/>
              </w:rPr>
              <w:t>）、其他多方面效应（A</w:t>
            </w:r>
            <w:r>
              <w:rPr>
                <w:rFonts w:hint="default" w:ascii="Times New Roman" w:hAnsi="Times New Roman" w:eastAsia="宋体" w:cs="Times New Roman"/>
                <w:b w:val="0"/>
                <w:bCs w:val="0"/>
                <w:color w:val="auto"/>
                <w:spacing w:val="0"/>
                <w:position w:val="0"/>
                <w:sz w:val="24"/>
                <w:szCs w:val="24"/>
                <w:vertAlign w:val="subscript"/>
              </w:rPr>
              <w:t>misc</w:t>
            </w:r>
            <w:r>
              <w:rPr>
                <w:rFonts w:hint="default" w:ascii="Times New Roman" w:hAnsi="Times New Roman" w:eastAsia="宋体" w:cs="Times New Roman"/>
                <w:b w:val="0"/>
                <w:bCs w:val="0"/>
                <w:color w:val="auto"/>
                <w:spacing w:val="0"/>
                <w:position w:val="0"/>
                <w:sz w:val="24"/>
                <w:szCs w:val="24"/>
              </w:rPr>
              <w:t>）引起的衰减。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距声源点r处的A声级按下式计算：</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drawing>
                <wp:inline distT="0" distB="0" distL="0" distR="0">
                  <wp:extent cx="3932555" cy="331470"/>
                  <wp:effectExtent l="0" t="0" r="10795" b="11430"/>
                  <wp:docPr id="76"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44"/>
                          <pic:cNvPicPr>
                            <a:picLocks noChangeAspect="1" noChangeArrowheads="1"/>
                          </pic:cNvPicPr>
                        </pic:nvPicPr>
                        <pic:blipFill>
                          <a:blip r:embed="rId40"/>
                          <a:srcRect/>
                          <a:stretch>
                            <a:fillRect/>
                          </a:stretch>
                        </pic:blipFill>
                        <pic:spPr>
                          <a:xfrm>
                            <a:off x="0" y="0"/>
                            <a:ext cx="3932555" cy="331470"/>
                          </a:xfrm>
                          <a:prstGeom prst="rect">
                            <a:avLst/>
                          </a:prstGeom>
                          <a:noFill/>
                          <a:ln w="9525">
                            <a:noFill/>
                            <a:miter lim="800000"/>
                            <a:headEnd/>
                            <a:tailEnd/>
                          </a:ln>
                        </pic:spPr>
                      </pic:pic>
                    </a:graphicData>
                  </a:graphic>
                </wp:inline>
              </w:drawing>
            </w:r>
          </w:p>
          <w:p>
            <w:pPr>
              <w:keepNext w:val="0"/>
              <w:keepLines w:val="0"/>
              <w:pageBreakBefore w:val="0"/>
              <w:kinsoku/>
              <w:overflowPunct/>
              <w:topLinePunct w:val="0"/>
              <w:bidi w:val="0"/>
              <w:spacing w:line="360" w:lineRule="auto"/>
              <w:ind w:firstLine="480" w:firstLineChars="200"/>
              <w:jc w:val="left"/>
              <w:rPr>
                <w:rFonts w:ascii="Times New Roman" w:hAnsi="Times New Roman" w:eastAsia="宋体" w:cs="Times New Roman"/>
                <w:b/>
                <w:bCs/>
                <w:color w:val="auto"/>
                <w:sz w:val="21"/>
                <w:szCs w:val="21"/>
                <w:lang w:val="zh-CN"/>
              </w:rPr>
            </w:pPr>
            <w:r>
              <w:rPr>
                <w:rFonts w:hint="default" w:ascii="Times New Roman" w:hAnsi="Times New Roman" w:eastAsia="宋体" w:cs="Times New Roman"/>
                <w:b w:val="0"/>
                <w:bCs w:val="0"/>
                <w:color w:val="auto"/>
                <w:spacing w:val="0"/>
                <w:position w:val="0"/>
                <w:sz w:val="24"/>
                <w:szCs w:val="24"/>
              </w:rPr>
              <w:t>在预测中考虑反射引起的修正、屏障引起的衰减、双绕射、室内声源等效室外声源等影响和计算方法。</w:t>
            </w:r>
          </w:p>
          <w:p>
            <w:pPr>
              <w:keepNext w:val="0"/>
              <w:keepLines w:val="0"/>
              <w:pageBreakBefore w:val="0"/>
              <w:kinsoku/>
              <w:overflowPunct/>
              <w:topLinePunct w:val="0"/>
              <w:bidi w:val="0"/>
              <w:spacing w:line="360" w:lineRule="auto"/>
              <w:ind w:firstLine="482" w:firstLineChars="200"/>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lang w:val="zh-CN"/>
              </w:rPr>
              <w:t>表4-</w:t>
            </w:r>
            <w:r>
              <w:rPr>
                <w:rFonts w:hint="eastAsia" w:cs="Times New Roman"/>
                <w:b/>
                <w:bCs/>
                <w:color w:val="auto"/>
                <w:sz w:val="24"/>
                <w:szCs w:val="24"/>
                <w:lang w:val="en-US" w:eastAsia="zh-CN"/>
              </w:rPr>
              <w:t>8</w:t>
            </w:r>
            <w:r>
              <w:rPr>
                <w:rFonts w:ascii="Times New Roman" w:hAnsi="Times New Roman" w:eastAsia="宋体" w:cs="Times New Roman"/>
                <w:b/>
                <w:bCs/>
                <w:color w:val="auto"/>
                <w:sz w:val="24"/>
                <w:szCs w:val="24"/>
                <w:lang w:val="zh-CN"/>
              </w:rPr>
              <w:t xml:space="preserve"> 主要噪声</w:t>
            </w:r>
            <w:r>
              <w:rPr>
                <w:rFonts w:hint="eastAsia" w:ascii="Times New Roman" w:hAnsi="Times New Roman" w:eastAsia="宋体" w:cs="Times New Roman"/>
                <w:b/>
                <w:bCs/>
                <w:color w:val="auto"/>
                <w:sz w:val="24"/>
                <w:szCs w:val="24"/>
                <w:lang w:val="en-US" w:eastAsia="zh-CN"/>
              </w:rPr>
              <w:t>影响预测结果</w:t>
            </w:r>
          </w:p>
          <w:tbl>
            <w:tblPr>
              <w:tblStyle w:val="30"/>
              <w:tblW w:w="845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809"/>
              <w:gridCol w:w="810"/>
              <w:gridCol w:w="744"/>
              <w:gridCol w:w="741"/>
              <w:gridCol w:w="2"/>
              <w:gridCol w:w="744"/>
              <w:gridCol w:w="733"/>
              <w:gridCol w:w="758"/>
              <w:gridCol w:w="724"/>
              <w:gridCol w:w="763"/>
              <w:gridCol w:w="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71" w:type="dxa"/>
                  <w:vMerge w:val="restart"/>
                  <w:noWrap w:val="0"/>
                  <w:vAlign w:val="center"/>
                </w:tcPr>
                <w:p>
                  <w:pPr>
                    <w:snapToGrid w:val="0"/>
                    <w:jc w:val="center"/>
                    <w:rPr>
                      <w:b/>
                      <w:bCs/>
                      <w:color w:val="auto"/>
                      <w:szCs w:val="21"/>
                    </w:rPr>
                  </w:pPr>
                  <w:r>
                    <w:rPr>
                      <w:b/>
                      <w:bCs/>
                      <w:color w:val="auto"/>
                      <w:szCs w:val="21"/>
                      <w:lang w:bidi="ar"/>
                    </w:rPr>
                    <w:t>预测点</w:t>
                  </w:r>
                </w:p>
              </w:tc>
              <w:tc>
                <w:tcPr>
                  <w:tcW w:w="1619" w:type="dxa"/>
                  <w:gridSpan w:val="2"/>
                  <w:noWrap w:val="0"/>
                  <w:vAlign w:val="center"/>
                </w:tcPr>
                <w:p>
                  <w:pPr>
                    <w:snapToGrid w:val="0"/>
                    <w:jc w:val="center"/>
                    <w:rPr>
                      <w:b/>
                      <w:bCs/>
                      <w:color w:val="auto"/>
                      <w:szCs w:val="21"/>
                    </w:rPr>
                  </w:pPr>
                  <w:r>
                    <w:rPr>
                      <w:b/>
                      <w:bCs/>
                      <w:color w:val="auto"/>
                      <w:szCs w:val="21"/>
                      <w:lang w:bidi="ar"/>
                    </w:rPr>
                    <w:t>贡献值/dB（A）</w:t>
                  </w:r>
                </w:p>
              </w:tc>
              <w:tc>
                <w:tcPr>
                  <w:tcW w:w="1485" w:type="dxa"/>
                  <w:gridSpan w:val="2"/>
                  <w:noWrap w:val="0"/>
                  <w:vAlign w:val="center"/>
                </w:tcPr>
                <w:p>
                  <w:pPr>
                    <w:snapToGrid w:val="0"/>
                    <w:jc w:val="center"/>
                    <w:rPr>
                      <w:rFonts w:hint="eastAsia" w:eastAsia="宋体"/>
                      <w:b/>
                      <w:bCs/>
                      <w:color w:val="auto"/>
                      <w:szCs w:val="21"/>
                      <w:lang w:val="en-US" w:eastAsia="zh-CN" w:bidi="ar"/>
                    </w:rPr>
                  </w:pPr>
                  <w:r>
                    <w:rPr>
                      <w:rFonts w:hint="eastAsia"/>
                      <w:b/>
                      <w:bCs/>
                      <w:color w:val="auto"/>
                      <w:szCs w:val="21"/>
                      <w:lang w:val="en-US" w:eastAsia="zh-CN" w:bidi="ar"/>
                    </w:rPr>
                    <w:t>背景值</w:t>
                  </w:r>
                  <w:r>
                    <w:rPr>
                      <w:b/>
                      <w:bCs/>
                      <w:color w:val="auto"/>
                      <w:szCs w:val="21"/>
                      <w:lang w:bidi="ar"/>
                    </w:rPr>
                    <w:t>/dB（A）</w:t>
                  </w:r>
                </w:p>
              </w:tc>
              <w:tc>
                <w:tcPr>
                  <w:tcW w:w="1479" w:type="dxa"/>
                  <w:gridSpan w:val="3"/>
                  <w:noWrap w:val="0"/>
                  <w:vAlign w:val="center"/>
                </w:tcPr>
                <w:p>
                  <w:pPr>
                    <w:snapToGrid w:val="0"/>
                    <w:jc w:val="center"/>
                    <w:rPr>
                      <w:rFonts w:hint="default"/>
                      <w:b/>
                      <w:bCs/>
                      <w:color w:val="auto"/>
                      <w:szCs w:val="21"/>
                      <w:lang w:val="en-US" w:eastAsia="zh-CN" w:bidi="ar"/>
                    </w:rPr>
                  </w:pPr>
                  <w:r>
                    <w:rPr>
                      <w:rFonts w:hint="eastAsia"/>
                      <w:b/>
                      <w:bCs/>
                      <w:color w:val="auto"/>
                      <w:szCs w:val="21"/>
                      <w:lang w:val="en-US" w:eastAsia="zh-CN" w:bidi="ar"/>
                    </w:rPr>
                    <w:t>叠加值</w:t>
                  </w:r>
                  <w:r>
                    <w:rPr>
                      <w:b/>
                      <w:bCs/>
                      <w:color w:val="auto"/>
                      <w:szCs w:val="21"/>
                      <w:lang w:bidi="ar"/>
                    </w:rPr>
                    <w:t>/dB（A）</w:t>
                  </w:r>
                </w:p>
              </w:tc>
              <w:tc>
                <w:tcPr>
                  <w:tcW w:w="1482" w:type="dxa"/>
                  <w:gridSpan w:val="2"/>
                  <w:noWrap w:val="0"/>
                  <w:vAlign w:val="center"/>
                </w:tcPr>
                <w:p>
                  <w:pPr>
                    <w:snapToGrid w:val="0"/>
                    <w:jc w:val="center"/>
                    <w:rPr>
                      <w:b/>
                      <w:bCs/>
                      <w:color w:val="auto"/>
                      <w:szCs w:val="21"/>
                    </w:rPr>
                  </w:pPr>
                  <w:r>
                    <w:rPr>
                      <w:b/>
                      <w:bCs/>
                      <w:color w:val="auto"/>
                      <w:szCs w:val="21"/>
                      <w:lang w:bidi="ar"/>
                    </w:rPr>
                    <w:t>噪声标准/dB（A）</w:t>
                  </w:r>
                </w:p>
              </w:tc>
              <w:tc>
                <w:tcPr>
                  <w:tcW w:w="1519" w:type="dxa"/>
                  <w:gridSpan w:val="2"/>
                  <w:noWrap w:val="0"/>
                  <w:vAlign w:val="center"/>
                </w:tcPr>
                <w:p>
                  <w:pPr>
                    <w:snapToGrid w:val="0"/>
                    <w:jc w:val="center"/>
                    <w:rPr>
                      <w:b/>
                      <w:bCs/>
                      <w:color w:val="auto"/>
                      <w:szCs w:val="21"/>
                    </w:rPr>
                  </w:pPr>
                  <w:r>
                    <w:rPr>
                      <w:b/>
                      <w:bCs/>
                      <w:color w:val="auto"/>
                      <w:szCs w:val="21"/>
                      <w:lang w:bidi="ar"/>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vMerge w:val="continue"/>
                  <w:noWrap w:val="0"/>
                  <w:vAlign w:val="center"/>
                </w:tcPr>
                <w:p>
                  <w:pPr>
                    <w:rPr>
                      <w:rFonts w:eastAsia="等线"/>
                      <w:color w:val="auto"/>
                      <w:sz w:val="20"/>
                      <w:szCs w:val="20"/>
                    </w:rPr>
                  </w:pPr>
                </w:p>
              </w:tc>
              <w:tc>
                <w:tcPr>
                  <w:tcW w:w="809" w:type="dxa"/>
                  <w:noWrap w:val="0"/>
                  <w:vAlign w:val="center"/>
                </w:tcPr>
                <w:p>
                  <w:pPr>
                    <w:snapToGrid w:val="0"/>
                    <w:jc w:val="center"/>
                    <w:rPr>
                      <w:rFonts w:hint="default" w:eastAsia="宋体"/>
                      <w:b/>
                      <w:bCs/>
                      <w:color w:val="auto"/>
                      <w:szCs w:val="21"/>
                      <w:lang w:val="en-US" w:eastAsia="zh-CN"/>
                    </w:rPr>
                  </w:pPr>
                  <w:r>
                    <w:rPr>
                      <w:rFonts w:hint="eastAsia"/>
                      <w:b/>
                      <w:bCs/>
                      <w:color w:val="auto"/>
                      <w:szCs w:val="21"/>
                    </w:rPr>
                    <w:t>昼间</w:t>
                  </w:r>
                </w:p>
              </w:tc>
              <w:tc>
                <w:tcPr>
                  <w:tcW w:w="810"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44" w:type="dxa"/>
                  <w:noWrap w:val="0"/>
                  <w:vAlign w:val="center"/>
                </w:tcPr>
                <w:p>
                  <w:pPr>
                    <w:snapToGrid w:val="0"/>
                    <w:jc w:val="center"/>
                    <w:rPr>
                      <w:rFonts w:hint="eastAsia"/>
                      <w:b/>
                      <w:bCs/>
                      <w:color w:val="auto"/>
                      <w:szCs w:val="21"/>
                    </w:rPr>
                  </w:pPr>
                  <w:r>
                    <w:rPr>
                      <w:rFonts w:hint="eastAsia"/>
                      <w:b/>
                      <w:bCs/>
                      <w:color w:val="auto"/>
                      <w:szCs w:val="21"/>
                    </w:rPr>
                    <w:t>昼间</w:t>
                  </w:r>
                </w:p>
              </w:tc>
              <w:tc>
                <w:tcPr>
                  <w:tcW w:w="743" w:type="dxa"/>
                  <w:gridSpan w:val="2"/>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44" w:type="dxa"/>
                  <w:noWrap w:val="0"/>
                  <w:vAlign w:val="center"/>
                </w:tcPr>
                <w:p>
                  <w:pPr>
                    <w:snapToGrid w:val="0"/>
                    <w:jc w:val="center"/>
                    <w:rPr>
                      <w:b/>
                      <w:bCs/>
                      <w:color w:val="auto"/>
                      <w:szCs w:val="21"/>
                    </w:rPr>
                  </w:pPr>
                  <w:r>
                    <w:rPr>
                      <w:rFonts w:hint="eastAsia"/>
                      <w:b/>
                      <w:bCs/>
                      <w:color w:val="auto"/>
                      <w:szCs w:val="21"/>
                    </w:rPr>
                    <w:t>昼间</w:t>
                  </w:r>
                </w:p>
              </w:tc>
              <w:tc>
                <w:tcPr>
                  <w:tcW w:w="733" w:type="dxa"/>
                  <w:noWrap w:val="0"/>
                  <w:vAlign w:val="center"/>
                </w:tcPr>
                <w:p>
                  <w:pPr>
                    <w:snapToGrid w:val="0"/>
                    <w:jc w:val="center"/>
                    <w:rPr>
                      <w:b/>
                      <w:bCs/>
                      <w:color w:val="auto"/>
                      <w:szCs w:val="21"/>
                    </w:rPr>
                  </w:pPr>
                  <w:r>
                    <w:rPr>
                      <w:rFonts w:hint="eastAsia"/>
                      <w:b/>
                      <w:bCs/>
                      <w:color w:val="auto"/>
                      <w:szCs w:val="21"/>
                      <w:lang w:val="en-US" w:eastAsia="zh-CN"/>
                    </w:rPr>
                    <w:t>夜</w:t>
                  </w:r>
                  <w:r>
                    <w:rPr>
                      <w:rFonts w:hint="eastAsia"/>
                      <w:b/>
                      <w:bCs/>
                      <w:color w:val="auto"/>
                      <w:szCs w:val="21"/>
                    </w:rPr>
                    <w:t>间</w:t>
                  </w:r>
                </w:p>
              </w:tc>
              <w:tc>
                <w:tcPr>
                  <w:tcW w:w="758" w:type="dxa"/>
                  <w:noWrap w:val="0"/>
                  <w:vAlign w:val="center"/>
                </w:tcPr>
                <w:p>
                  <w:pPr>
                    <w:snapToGrid w:val="0"/>
                    <w:jc w:val="center"/>
                    <w:rPr>
                      <w:rFonts w:hint="eastAsia"/>
                      <w:b/>
                      <w:bCs/>
                      <w:color w:val="auto"/>
                      <w:szCs w:val="21"/>
                    </w:rPr>
                  </w:pPr>
                  <w:r>
                    <w:rPr>
                      <w:rFonts w:hint="eastAsia"/>
                      <w:b/>
                      <w:bCs/>
                      <w:color w:val="auto"/>
                      <w:szCs w:val="21"/>
                    </w:rPr>
                    <w:t>昼间</w:t>
                  </w:r>
                </w:p>
              </w:tc>
              <w:tc>
                <w:tcPr>
                  <w:tcW w:w="724"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3" w:type="dxa"/>
                  <w:noWrap w:val="0"/>
                  <w:vAlign w:val="center"/>
                </w:tcPr>
                <w:p>
                  <w:pPr>
                    <w:snapToGrid w:val="0"/>
                    <w:jc w:val="center"/>
                    <w:rPr>
                      <w:rFonts w:hint="eastAsia"/>
                      <w:b/>
                      <w:bCs/>
                      <w:color w:val="auto"/>
                      <w:szCs w:val="21"/>
                    </w:rPr>
                  </w:pPr>
                  <w:r>
                    <w:rPr>
                      <w:rFonts w:hint="eastAsia"/>
                      <w:b/>
                      <w:bCs/>
                      <w:color w:val="auto"/>
                      <w:szCs w:val="21"/>
                    </w:rPr>
                    <w:t>昼间</w:t>
                  </w:r>
                </w:p>
              </w:tc>
              <w:tc>
                <w:tcPr>
                  <w:tcW w:w="756"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w:t>
                  </w:r>
                </w:p>
              </w:tc>
              <w:tc>
                <w:tcPr>
                  <w:tcW w:w="80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36.64</w:t>
                  </w:r>
                </w:p>
              </w:tc>
              <w:tc>
                <w:tcPr>
                  <w:tcW w:w="81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36.64</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厂界南</w:t>
                  </w:r>
                </w:p>
              </w:tc>
              <w:tc>
                <w:tcPr>
                  <w:tcW w:w="80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28.46</w:t>
                  </w:r>
                </w:p>
              </w:tc>
              <w:tc>
                <w:tcPr>
                  <w:tcW w:w="81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28.46</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w:t>
                  </w:r>
                </w:p>
              </w:tc>
              <w:tc>
                <w:tcPr>
                  <w:tcW w:w="80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32.87</w:t>
                  </w:r>
                </w:p>
              </w:tc>
              <w:tc>
                <w:tcPr>
                  <w:tcW w:w="81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32.87</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w:t>
                  </w:r>
                </w:p>
              </w:tc>
              <w:tc>
                <w:tcPr>
                  <w:tcW w:w="80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43.66</w:t>
                  </w:r>
                </w:p>
              </w:tc>
              <w:tc>
                <w:tcPr>
                  <w:tcW w:w="81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43.66</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厂界西侧居民</w:t>
                  </w:r>
                </w:p>
              </w:tc>
              <w:tc>
                <w:tcPr>
                  <w:tcW w:w="80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27.71</w:t>
                  </w:r>
                </w:p>
              </w:tc>
              <w:tc>
                <w:tcPr>
                  <w:tcW w:w="81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27.71</w:t>
                  </w:r>
                </w:p>
              </w:tc>
              <w:tc>
                <w:tcPr>
                  <w:tcW w:w="744"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olor w:val="auto"/>
                      <w:sz w:val="21"/>
                      <w:szCs w:val="21"/>
                    </w:rPr>
                    <w:t>5</w:t>
                  </w:r>
                  <w:r>
                    <w:rPr>
                      <w:rFonts w:hint="eastAsia"/>
                      <w:color w:val="auto"/>
                      <w:sz w:val="21"/>
                      <w:szCs w:val="21"/>
                      <w:lang w:val="en-US" w:eastAsia="zh-CN"/>
                    </w:rPr>
                    <w:t>3</w:t>
                  </w:r>
                </w:p>
              </w:tc>
              <w:tc>
                <w:tcPr>
                  <w:tcW w:w="743" w:type="dxa"/>
                  <w:gridSpan w:val="2"/>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w:t>
                  </w:r>
                </w:p>
              </w:tc>
              <w:tc>
                <w:tcPr>
                  <w:tcW w:w="744"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 xml:space="preserve">51.00 </w:t>
                  </w:r>
                </w:p>
              </w:tc>
              <w:tc>
                <w:tcPr>
                  <w:tcW w:w="733"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 xml:space="preserve">40.25 </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厂界南侧居民</w:t>
                  </w:r>
                </w:p>
              </w:tc>
              <w:tc>
                <w:tcPr>
                  <w:tcW w:w="80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22.35</w:t>
                  </w:r>
                </w:p>
              </w:tc>
              <w:tc>
                <w:tcPr>
                  <w:tcW w:w="81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22.35</w:t>
                  </w:r>
                </w:p>
              </w:tc>
              <w:tc>
                <w:tcPr>
                  <w:tcW w:w="744"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olor w:val="auto"/>
                      <w:sz w:val="21"/>
                      <w:szCs w:val="21"/>
                    </w:rPr>
                    <w:t>5</w:t>
                  </w:r>
                  <w:r>
                    <w:rPr>
                      <w:rFonts w:hint="eastAsia"/>
                      <w:color w:val="auto"/>
                      <w:sz w:val="21"/>
                      <w:szCs w:val="21"/>
                      <w:lang w:val="en-US" w:eastAsia="zh-CN"/>
                    </w:rPr>
                    <w:t>2</w:t>
                  </w:r>
                </w:p>
              </w:tc>
              <w:tc>
                <w:tcPr>
                  <w:tcW w:w="743" w:type="dxa"/>
                  <w:gridSpan w:val="2"/>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39</w:t>
                  </w:r>
                  <w:r>
                    <w:rPr>
                      <w:rFonts w:hint="eastAsia" w:ascii="Times New Roman" w:hAnsi="Times New Roman" w:eastAsia="宋体" w:cs="Times New Roman"/>
                      <w:color w:val="auto"/>
                      <w:szCs w:val="21"/>
                      <w:highlight w:val="none"/>
                      <w:lang w:val="en-US" w:eastAsia="zh-CN"/>
                    </w:rPr>
                    <w:t xml:space="preserve"> </w:t>
                  </w:r>
                </w:p>
              </w:tc>
              <w:tc>
                <w:tcPr>
                  <w:tcW w:w="744"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 xml:space="preserve">51.00 </w:t>
                  </w:r>
                </w:p>
              </w:tc>
              <w:tc>
                <w:tcPr>
                  <w:tcW w:w="733"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39.09</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厂界北侧居民</w:t>
                  </w:r>
                </w:p>
              </w:tc>
              <w:tc>
                <w:tcPr>
                  <w:tcW w:w="80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27.66</w:t>
                  </w:r>
                </w:p>
              </w:tc>
              <w:tc>
                <w:tcPr>
                  <w:tcW w:w="81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27.66</w:t>
                  </w:r>
                </w:p>
              </w:tc>
              <w:tc>
                <w:tcPr>
                  <w:tcW w:w="744"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olor w:val="auto"/>
                      <w:sz w:val="21"/>
                      <w:szCs w:val="21"/>
                    </w:rPr>
                    <w:t>5</w:t>
                  </w:r>
                  <w:r>
                    <w:rPr>
                      <w:rFonts w:hint="eastAsia"/>
                      <w:color w:val="auto"/>
                      <w:sz w:val="21"/>
                      <w:szCs w:val="21"/>
                      <w:lang w:val="en-US" w:eastAsia="zh-CN"/>
                    </w:rPr>
                    <w:t>2</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p>
              </w:tc>
              <w:tc>
                <w:tcPr>
                  <w:tcW w:w="744"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 xml:space="preserve">52.11 </w:t>
                  </w:r>
                </w:p>
              </w:tc>
              <w:tc>
                <w:tcPr>
                  <w:tcW w:w="733"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40.25</w:t>
                  </w:r>
                </w:p>
              </w:tc>
              <w:tc>
                <w:tcPr>
                  <w:tcW w:w="75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56"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3</w:t>
            </w:r>
            <w:r>
              <w:rPr>
                <w:rFonts w:hint="default" w:ascii="Times New Roman" w:hAnsi="Times New Roman" w:eastAsia="宋体" w:cs="Times New Roman"/>
                <w:bCs/>
                <w:color w:val="auto"/>
                <w:spacing w:val="-10"/>
                <w:sz w:val="24"/>
                <w:szCs w:val="24"/>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本项目选用低噪声设备，设备装设减振垫，风机进、出风口装设</w:t>
            </w:r>
            <w:r>
              <w:rPr>
                <w:rFonts w:hint="eastAsia" w:cs="Times New Roman"/>
                <w:bCs/>
                <w:color w:val="auto"/>
                <w:spacing w:val="-10"/>
                <w:sz w:val="24"/>
                <w:szCs w:val="24"/>
                <w:lang w:val="en-US" w:eastAsia="zh-CN"/>
              </w:rPr>
              <w:t>消声器</w:t>
            </w:r>
            <w:r>
              <w:rPr>
                <w:rFonts w:hint="default" w:ascii="Times New Roman" w:hAnsi="Times New Roman" w:eastAsia="宋体" w:cs="Times New Roman"/>
                <w:bCs/>
                <w:color w:val="auto"/>
                <w:spacing w:val="-10"/>
                <w:sz w:val="24"/>
                <w:szCs w:val="24"/>
                <w:lang w:val="en-US" w:eastAsia="zh-CN"/>
              </w:rPr>
              <w:t>，再通过房</w:t>
            </w:r>
            <w:r>
              <w:rPr>
                <w:rFonts w:hint="eastAsia" w:cs="Times New Roman"/>
                <w:bCs/>
                <w:color w:val="auto"/>
                <w:spacing w:val="-10"/>
                <w:sz w:val="24"/>
                <w:szCs w:val="24"/>
                <w:lang w:val="en-US" w:eastAsia="zh-CN"/>
              </w:rPr>
              <w:t>屋</w:t>
            </w:r>
            <w:r>
              <w:rPr>
                <w:rFonts w:hint="default" w:ascii="Times New Roman" w:hAnsi="Times New Roman" w:eastAsia="宋体" w:cs="Times New Roman"/>
                <w:bCs/>
                <w:color w:val="auto"/>
                <w:spacing w:val="-10"/>
                <w:sz w:val="24"/>
                <w:szCs w:val="24"/>
                <w:lang w:val="en-US" w:eastAsia="zh-CN"/>
              </w:rPr>
              <w:t>隔声等措施，可限制噪声向外传播，对照《工业企业噪声控制设计规范》（GB/T50087-2013）中章节“6.消声设计”及“8.隔振降噪设计”中的内容，空气动力机械进（排）气口敞开的气口装设消声器以及产生较强振动或冲击，引起固体传声及振动辐射噪声的动力设备加装减振垫等隔振措施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bCs/>
                <w:color w:val="auto"/>
                <w:spacing w:val="-10"/>
                <w:sz w:val="24"/>
                <w:szCs w:val="24"/>
                <w:lang w:val="en-US" w:eastAsia="zh-CN"/>
              </w:rPr>
              <w:t>厂界噪声排放</w:t>
            </w:r>
            <w:r>
              <w:rPr>
                <w:rFonts w:hint="default" w:ascii="Times New Roman" w:hAnsi="Times New Roman" w:cs="Times New Roman"/>
                <w:color w:val="auto"/>
                <w:kern w:val="0"/>
                <w:sz w:val="24"/>
                <w:szCs w:val="24"/>
                <w:lang w:val="en-US" w:eastAsia="zh-CN"/>
              </w:rPr>
              <w:t>满足《工业企业厂界噪声排放标准》（GB12348-2008）中</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类标准要求</w:t>
            </w:r>
            <w:r>
              <w:rPr>
                <w:rFonts w:hint="eastAsia" w:cs="Times New Roman"/>
                <w:color w:val="auto"/>
                <w:kern w:val="0"/>
                <w:sz w:val="24"/>
                <w:szCs w:val="24"/>
                <w:lang w:val="en-US" w:eastAsia="zh-CN"/>
              </w:rPr>
              <w:t>。</w:t>
            </w:r>
            <w:r>
              <w:rPr>
                <w:rFonts w:hint="eastAsia"/>
                <w:color w:val="auto"/>
                <w:sz w:val="24"/>
                <w:lang w:val="en-US" w:eastAsia="zh-CN"/>
              </w:rPr>
              <w:t>厂界北侧、西侧、南侧敏感点满足《声环境质量标准》（GB3096-2008）中2类标准。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（3）环境噪声监测要求</w:t>
            </w:r>
          </w:p>
          <w:p>
            <w:pPr>
              <w:pStyle w:val="11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 xml:space="preserve">  噪声监测计划一览表</w:t>
            </w:r>
          </w:p>
          <w:tbl>
            <w:tblPr>
              <w:tblStyle w:val="30"/>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厂界四周外1m</w:t>
                  </w:r>
                  <w:r>
                    <w:rPr>
                      <w:rFonts w:hint="eastAsia" w:cs="Times New Roman"/>
                      <w:bCs/>
                      <w:color w:val="auto"/>
                      <w:kern w:val="0"/>
                      <w:szCs w:val="21"/>
                      <w:lang w:val="en-US" w:eastAsia="zh-CN"/>
                    </w:rPr>
                    <w:t>处、厂界周围敏感点</w:t>
                  </w:r>
                </w:p>
              </w:tc>
              <w:tc>
                <w:tcPr>
                  <w:tcW w:w="818"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最大声级、等效声级</w:t>
                  </w:r>
                </w:p>
              </w:tc>
              <w:tc>
                <w:tcPr>
                  <w:tcW w:w="1800"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1次/季度</w:t>
                  </w:r>
                </w:p>
              </w:tc>
              <w:tc>
                <w:tcPr>
                  <w:tcW w:w="2793" w:type="dxa"/>
                  <w:noWrap w:val="0"/>
                  <w:vAlign w:val="center"/>
                </w:tcPr>
                <w:p>
                  <w:pPr>
                    <w:jc w:val="center"/>
                    <w:rPr>
                      <w:rFonts w:hint="eastAsia"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w:t>
                  </w:r>
                  <w:r>
                    <w:rPr>
                      <w:rFonts w:hint="eastAsia" w:cs="Times New Roman"/>
                      <w:bCs/>
                      <w:color w:val="auto"/>
                      <w:kern w:val="0"/>
                      <w:szCs w:val="21"/>
                      <w:highlight w:val="none"/>
                      <w:lang w:eastAsia="zh-CN"/>
                    </w:rPr>
                    <w:t>》</w:t>
                  </w:r>
                  <w:r>
                    <w:rPr>
                      <w:rFonts w:hint="eastAsia" w:ascii="Times New Roman" w:hAnsi="Times New Roman" w:eastAsia="宋体" w:cs="Times New Roman"/>
                      <w:color w:val="auto"/>
                      <w:kern w:val="0"/>
                      <w:szCs w:val="21"/>
                      <w:lang w:val="en-US" w:eastAsia="zh-CN"/>
                    </w:rPr>
                    <w:t>《声环境质量标准》（GB3096-2008）中2类标准</w:t>
                  </w:r>
                </w:p>
              </w:tc>
            </w:tr>
          </w:tbl>
          <w:p>
            <w:pPr>
              <w:snapToGrid w:val="0"/>
              <w:spacing w:line="360" w:lineRule="auto"/>
              <w:ind w:firstLine="482" w:firstLineChars="200"/>
              <w:rPr>
                <w:b/>
                <w:bCs/>
                <w:color w:val="auto"/>
                <w:sz w:val="24"/>
              </w:rPr>
            </w:pPr>
            <w:r>
              <w:rPr>
                <w:b/>
                <w:bCs/>
                <w:color w:val="auto"/>
                <w:sz w:val="24"/>
              </w:rPr>
              <w:t>4、固体废物</w:t>
            </w:r>
          </w:p>
          <w:p>
            <w:pPr>
              <w:keepNext w:val="0"/>
              <w:keepLines w:val="0"/>
              <w:pageBreakBefore w:val="0"/>
              <w:widowControl w:val="0"/>
              <w:kinsoku/>
              <w:wordWrap/>
              <w:overflowPunct w:val="0"/>
              <w:topLinePunct w:val="0"/>
              <w:autoSpaceDE/>
              <w:autoSpaceDN/>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40" w:name="_Hlk77175712"/>
            <w:r>
              <w:rPr>
                <w:rFonts w:hint="default" w:ascii="Times New Roman" w:hAnsi="Times New Roman" w:cs="Times New Roman"/>
                <w:color w:val="auto"/>
                <w:sz w:val="24"/>
                <w:szCs w:val="24"/>
                <w:highlight w:val="none"/>
              </w:rPr>
              <w:t>本项目运营期产生的固体废物，主要包括</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灰</w:t>
            </w:r>
            <w:r>
              <w:rPr>
                <w:rFonts w:hint="default" w:ascii="Times New Roman" w:hAnsi="Times New Roman" w:cs="Times New Roman"/>
                <w:color w:val="auto"/>
                <w:sz w:val="24"/>
                <w:szCs w:val="24"/>
                <w:highlight w:val="none"/>
              </w:rPr>
              <w:t>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eastAsia" w:cs="Times New Roman"/>
                <w:color w:val="auto"/>
                <w:sz w:val="24"/>
                <w:szCs w:val="24"/>
                <w:highlight w:val="none"/>
                <w:lang w:val="en-US" w:eastAsia="zh-CN"/>
              </w:rPr>
              <w:t>、废离子交换树脂、沉淀池污泥</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cs="Times New Roman"/>
                <w:bCs/>
                <w:color w:val="auto"/>
                <w:spacing w:val="-10"/>
                <w:sz w:val="24"/>
                <w:szCs w:val="24"/>
                <w:highlight w:val="none"/>
                <w:lang w:val="en-US" w:eastAsia="zh-CN"/>
              </w:rPr>
              <w:t>除尘灰</w:t>
            </w:r>
            <w:r>
              <w:rPr>
                <w:rFonts w:hint="default" w:ascii="Times New Roman" w:hAnsi="Times New Roman" w:eastAsia="宋体" w:cs="Times New Roman"/>
                <w:bCs/>
                <w:color w:val="auto"/>
                <w:spacing w:val="-10"/>
                <w:sz w:val="24"/>
                <w:szCs w:val="24"/>
                <w:highlight w:val="none"/>
                <w:lang w:val="en-US" w:eastAsia="zh-CN"/>
              </w:rPr>
              <w:t>：年产生量约</w:t>
            </w:r>
            <w:r>
              <w:rPr>
                <w:rFonts w:hint="eastAsia" w:cs="Times New Roman"/>
                <w:bCs/>
                <w:color w:val="auto"/>
                <w:spacing w:val="-10"/>
                <w:sz w:val="24"/>
                <w:szCs w:val="24"/>
                <w:highlight w:val="none"/>
                <w:lang w:val="en-US" w:eastAsia="zh-CN"/>
              </w:rPr>
              <w:t>258.236</w:t>
            </w:r>
            <w:r>
              <w:rPr>
                <w:rFonts w:hint="default" w:ascii="Times New Roman" w:hAnsi="Times New Roman" w:eastAsia="宋体" w:cs="Times New Roman"/>
                <w:bCs/>
                <w:color w:val="auto"/>
                <w:spacing w:val="-10"/>
                <w:sz w:val="24"/>
                <w:szCs w:val="24"/>
                <w:highlight w:val="none"/>
                <w:lang w:val="en-US" w:eastAsia="zh-CN"/>
              </w:rPr>
              <w:t>t/a，</w:t>
            </w:r>
            <w:r>
              <w:rPr>
                <w:rFonts w:hint="eastAsia" w:cs="Times New Roman"/>
                <w:bCs/>
                <w:color w:val="auto"/>
                <w:spacing w:val="-10"/>
                <w:sz w:val="24"/>
                <w:szCs w:val="24"/>
                <w:highlight w:val="none"/>
                <w:lang w:val="en-US" w:eastAsia="zh-CN"/>
              </w:rPr>
              <w:t>收集后外售综合利用，固废代码为</w:t>
            </w:r>
            <w:r>
              <w:rPr>
                <w:rFonts w:hint="eastAsia"/>
                <w:color w:val="auto"/>
                <w:sz w:val="24"/>
                <w:szCs w:val="24"/>
              </w:rPr>
              <w:t>900-001-S02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topLinePunct w:val="0"/>
              <w:autoSpaceDE/>
              <w:autoSpaceDN/>
              <w:bidi w:val="0"/>
              <w:adjustRightInd w:val="0"/>
              <w:snapToGrid w:val="0"/>
              <w:spacing w:line="360" w:lineRule="auto"/>
              <w:ind w:firstLine="440" w:firstLineChars="200"/>
              <w:jc w:val="both"/>
              <w:textAlignment w:val="auto"/>
              <w:rPr>
                <w:rFonts w:hint="eastAsia"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（2）灰渣</w:t>
            </w:r>
            <w:r>
              <w:rPr>
                <w:rFonts w:hint="eastAsia" w:cs="Times New Roman"/>
                <w:bCs/>
                <w:color w:val="auto"/>
                <w:spacing w:val="-10"/>
                <w:sz w:val="24"/>
                <w:szCs w:val="24"/>
                <w:highlight w:val="none"/>
                <w:lang w:val="en-US" w:eastAsia="zh-CN"/>
              </w:rPr>
              <w:t>：</w:t>
            </w:r>
          </w:p>
          <w:p>
            <w:pPr>
              <w:keepNext w:val="0"/>
              <w:keepLines w:val="0"/>
              <w:pageBreakBefore w:val="0"/>
              <w:widowControl w:val="0"/>
              <w:kinsoku/>
              <w:wordWrap/>
              <w:topLinePunct w:val="0"/>
              <w:autoSpaceDE/>
              <w:autoSpaceDN/>
              <w:bidi w:val="0"/>
              <w:adjustRightInd w:val="0"/>
              <w:snapToGrid w:val="0"/>
              <w:spacing w:line="360" w:lineRule="auto"/>
              <w:jc w:val="center"/>
              <w:textAlignment w:val="auto"/>
              <w:rPr>
                <w:rFonts w:eastAsia="仿宋_GB2312"/>
                <w:color w:val="auto"/>
                <w:sz w:val="24"/>
                <w:szCs w:val="24"/>
              </w:rPr>
            </w:pPr>
            <w:r>
              <w:rPr>
                <w:rFonts w:eastAsia="仿宋_GB2312"/>
                <w:color w:val="auto"/>
                <w:position w:val="-34"/>
                <w:sz w:val="24"/>
                <w:szCs w:val="24"/>
              </w:rPr>
              <w:object>
                <v:shape id="_x0000_i1034" o:spt="75" type="#_x0000_t75" style="height:39pt;width:167.25pt;" o:ole="t" filled="f" o:preferrelative="t" stroked="f" coordsize="21600,21600">
                  <v:path/>
                  <v:fill on="f" focussize="0,0"/>
                  <v:stroke on="f"/>
                  <v:imagedata r:id="rId25" o:title=""/>
                  <o:lock v:ext="edit" aspectratio="t"/>
                  <w10:wrap type="none"/>
                  <w10:anchorlock/>
                </v:shape>
                <o:OLEObject Type="Embed" ProgID="Equation.DSMT4" ShapeID="_x0000_i1034" DrawAspect="Content" ObjectID="_1468075734" r:id="rId41">
                  <o:LockedField>false</o:LockedField>
                </o:OLEObject>
              </w:object>
            </w:r>
          </w:p>
          <w:p>
            <w:pPr>
              <w:keepNext w:val="0"/>
              <w:keepLines w:val="0"/>
              <w:pageBreakBefore w:val="0"/>
              <w:widowControl w:val="0"/>
              <w:kinsoku/>
              <w:wordWrap/>
              <w:topLinePunct w:val="0"/>
              <w:autoSpaceDE/>
              <w:autoSpaceDN/>
              <w:bidi w:val="0"/>
              <w:adjustRightInd w:val="0"/>
              <w:snapToGrid w:val="0"/>
              <w:spacing w:line="360" w:lineRule="auto"/>
              <w:ind w:firstLine="720" w:firstLineChars="300"/>
              <w:textAlignment w:val="auto"/>
              <w:rPr>
                <w:color w:val="auto"/>
                <w:sz w:val="24"/>
                <w:szCs w:val="24"/>
              </w:rPr>
            </w:pPr>
            <w:r>
              <w:rPr>
                <w:color w:val="auto"/>
                <w:sz w:val="24"/>
                <w:szCs w:val="24"/>
              </w:rPr>
              <w:t>式中</w:t>
            </w:r>
            <w:r>
              <w:rPr>
                <w:rFonts w:hint="eastAsia"/>
                <w:i/>
                <w:iCs/>
                <w:color w:val="auto"/>
                <w:sz w:val="24"/>
                <w:szCs w:val="24"/>
              </w:rPr>
              <w:t>E</w:t>
            </w:r>
            <w:r>
              <w:rPr>
                <w:rFonts w:hint="eastAsia"/>
                <w:i/>
                <w:iCs/>
                <w:color w:val="auto"/>
                <w:sz w:val="24"/>
                <w:szCs w:val="24"/>
                <w:vertAlign w:val="subscript"/>
              </w:rPr>
              <w:t>hz</w:t>
            </w:r>
            <w:r>
              <w:rPr>
                <w:color w:val="auto"/>
                <w:sz w:val="24"/>
                <w:szCs w:val="24"/>
              </w:rPr>
              <w:t>——</w:t>
            </w:r>
            <w:r>
              <w:rPr>
                <w:rFonts w:hint="eastAsia"/>
                <w:color w:val="auto"/>
                <w:sz w:val="24"/>
                <w:szCs w:val="24"/>
              </w:rPr>
              <w:t>核算时段内灰渣</w:t>
            </w:r>
            <w:r>
              <w:rPr>
                <w:color w:val="auto"/>
                <w:sz w:val="24"/>
                <w:szCs w:val="24"/>
              </w:rPr>
              <w:t>产生量，t；</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color w:val="auto"/>
                <w:sz w:val="24"/>
                <w:szCs w:val="24"/>
              </w:rPr>
            </w:pPr>
            <w:r>
              <w:rPr>
                <w:color w:val="auto"/>
                <w:sz w:val="24"/>
                <w:szCs w:val="24"/>
              </w:rPr>
              <w:t xml:space="preserve"> </w:t>
            </w:r>
            <w:r>
              <w:rPr>
                <w:rFonts w:hint="eastAsia"/>
                <w:color w:val="auto"/>
                <w:sz w:val="24"/>
                <w:szCs w:val="24"/>
              </w:rPr>
              <w:t>R</w:t>
            </w:r>
            <w:r>
              <w:rPr>
                <w:color w:val="auto"/>
                <w:sz w:val="24"/>
                <w:szCs w:val="24"/>
              </w:rPr>
              <w:t>——</w:t>
            </w:r>
            <w:r>
              <w:rPr>
                <w:rFonts w:hint="eastAsia"/>
                <w:color w:val="auto"/>
                <w:sz w:val="24"/>
                <w:szCs w:val="24"/>
              </w:rPr>
              <w:t>核算时段内</w:t>
            </w:r>
            <w:r>
              <w:rPr>
                <w:color w:val="auto"/>
                <w:sz w:val="24"/>
                <w:szCs w:val="24"/>
              </w:rPr>
              <w:t>锅炉燃料耗量，</w:t>
            </w:r>
            <w:r>
              <w:rPr>
                <w:rFonts w:hint="eastAsia"/>
                <w:color w:val="auto"/>
                <w:sz w:val="24"/>
                <w:szCs w:val="24"/>
                <w:lang w:val="en-US" w:eastAsia="zh-CN"/>
              </w:rPr>
              <w:t>2996</w:t>
            </w:r>
            <w:r>
              <w:rPr>
                <w:color w:val="auto"/>
                <w:sz w:val="24"/>
                <w:szCs w:val="24"/>
              </w:rPr>
              <w:t>t；</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color w:val="auto"/>
                <w:sz w:val="24"/>
                <w:szCs w:val="24"/>
              </w:rPr>
            </w:pPr>
            <w:r>
              <w:rPr>
                <w:color w:val="auto"/>
                <w:sz w:val="24"/>
                <w:szCs w:val="24"/>
              </w:rPr>
              <w:t xml:space="preserve"> </w:t>
            </w:r>
            <w:r>
              <w:rPr>
                <w:i/>
                <w:iCs/>
                <w:color w:val="auto"/>
                <w:sz w:val="24"/>
                <w:szCs w:val="24"/>
              </w:rPr>
              <w:t>A</w:t>
            </w:r>
            <w:r>
              <w:rPr>
                <w:i/>
                <w:iCs/>
                <w:color w:val="auto"/>
                <w:sz w:val="24"/>
                <w:szCs w:val="24"/>
                <w:vertAlign w:val="subscript"/>
              </w:rPr>
              <w:t>a</w:t>
            </w:r>
            <w:r>
              <w:rPr>
                <w:color w:val="auto"/>
                <w:sz w:val="24"/>
                <w:szCs w:val="24"/>
                <w:vertAlign w:val="subscript"/>
              </w:rPr>
              <w:t>r</w:t>
            </w:r>
            <w:r>
              <w:rPr>
                <w:color w:val="auto"/>
                <w:sz w:val="24"/>
                <w:szCs w:val="24"/>
              </w:rPr>
              <w:t>——收到基</w:t>
            </w:r>
            <w:r>
              <w:rPr>
                <w:rFonts w:hint="eastAsia"/>
                <w:color w:val="auto"/>
                <w:sz w:val="24"/>
                <w:szCs w:val="24"/>
                <w:lang w:eastAsia="zh-CN"/>
              </w:rPr>
              <w:t>灰分</w:t>
            </w:r>
            <w:r>
              <w:rPr>
                <w:rFonts w:hint="eastAsia"/>
                <w:color w:val="auto"/>
                <w:sz w:val="24"/>
                <w:szCs w:val="24"/>
              </w:rPr>
              <w:t>的质量分数</w:t>
            </w:r>
            <w:r>
              <w:rPr>
                <w:color w:val="auto"/>
                <w:sz w:val="24"/>
                <w:szCs w:val="24"/>
              </w:rPr>
              <w:t>，%，本次评价取16.33 ；</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color w:val="auto"/>
                <w:sz w:val="24"/>
                <w:szCs w:val="24"/>
              </w:rPr>
            </w:pPr>
            <w:r>
              <w:rPr>
                <w:color w:val="auto"/>
                <w:sz w:val="24"/>
                <w:szCs w:val="24"/>
              </w:rPr>
              <w:t xml:space="preserve"> </w:t>
            </w:r>
            <w:r>
              <w:rPr>
                <w:i/>
                <w:iCs/>
                <w:color w:val="auto"/>
                <w:sz w:val="24"/>
                <w:szCs w:val="24"/>
              </w:rPr>
              <w:t>q</w:t>
            </w:r>
            <w:r>
              <w:rPr>
                <w:color w:val="auto"/>
                <w:sz w:val="24"/>
                <w:szCs w:val="24"/>
                <w:vertAlign w:val="subscript"/>
              </w:rPr>
              <w:t>4</w:t>
            </w:r>
            <w:r>
              <w:rPr>
                <w:color w:val="auto"/>
                <w:sz w:val="24"/>
                <w:szCs w:val="24"/>
              </w:rPr>
              <w:t>——锅炉机械未完全燃烧热损失，%，本次评价取</w:t>
            </w:r>
            <w:r>
              <w:rPr>
                <w:rFonts w:hint="eastAsia"/>
                <w:color w:val="auto"/>
                <w:sz w:val="24"/>
                <w:szCs w:val="24"/>
                <w:lang w:val="en-US" w:eastAsia="zh-CN"/>
              </w:rPr>
              <w:t>2</w:t>
            </w:r>
            <w:r>
              <w:rPr>
                <w:color w:val="auto"/>
                <w:sz w:val="24"/>
                <w:szCs w:val="24"/>
              </w:rPr>
              <w:t>；</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rFonts w:hint="default" w:eastAsia="宋体"/>
                <w:color w:val="auto"/>
                <w:sz w:val="24"/>
                <w:szCs w:val="24"/>
                <w:lang w:val="en-US" w:eastAsia="zh-CN"/>
              </w:rPr>
            </w:pPr>
            <w:r>
              <w:rPr>
                <w:color w:val="auto"/>
                <w:sz w:val="24"/>
                <w:szCs w:val="24"/>
              </w:rPr>
              <w:t xml:space="preserve"> Q</w:t>
            </w:r>
            <w:r>
              <w:rPr>
                <w:color w:val="auto"/>
                <w:sz w:val="24"/>
                <w:szCs w:val="24"/>
                <w:vertAlign w:val="subscript"/>
              </w:rPr>
              <w:t>net，ar</w:t>
            </w:r>
            <w:r>
              <w:rPr>
                <w:color w:val="auto"/>
                <w:sz w:val="24"/>
                <w:szCs w:val="24"/>
              </w:rPr>
              <w:t>——燃料收到基低位发热量，kJ/kg，本次评价取</w:t>
            </w:r>
            <w:r>
              <w:rPr>
                <w:rFonts w:hint="eastAsia"/>
                <w:color w:val="auto"/>
                <w:sz w:val="24"/>
                <w:szCs w:val="24"/>
              </w:rPr>
              <w:t>1413</w:t>
            </w:r>
            <w:r>
              <w:rPr>
                <w:color w:val="auto"/>
                <w:sz w:val="24"/>
                <w:szCs w:val="24"/>
              </w:rPr>
              <w:t>2；</w:t>
            </w:r>
          </w:p>
          <w:p>
            <w:pPr>
              <w:keepNext w:val="0"/>
              <w:keepLines w:val="0"/>
              <w:pageBreakBefore w:val="0"/>
              <w:widowControl w:val="0"/>
              <w:kinsoku/>
              <w:wordWrap/>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bCs/>
                <w:color w:val="auto"/>
                <w:spacing w:val="-10"/>
                <w:sz w:val="24"/>
                <w:szCs w:val="24"/>
              </w:rPr>
              <w:t>经计算，本项目灰渣</w:t>
            </w:r>
            <w:r>
              <w:rPr>
                <w:bCs/>
                <w:color w:val="auto"/>
                <w:spacing w:val="-10"/>
                <w:sz w:val="24"/>
                <w:szCs w:val="24"/>
              </w:rPr>
              <w:t>产生量为</w:t>
            </w:r>
            <w:r>
              <w:rPr>
                <w:rFonts w:hint="eastAsia"/>
                <w:bCs/>
                <w:color w:val="auto"/>
                <w:spacing w:val="-10"/>
                <w:sz w:val="24"/>
                <w:szCs w:val="24"/>
                <w:lang w:val="en-US" w:eastAsia="zh-CN"/>
              </w:rPr>
              <w:t>514.25</w:t>
            </w:r>
            <w:r>
              <w:rPr>
                <w:bCs/>
                <w:color w:val="auto"/>
                <w:spacing w:val="-10"/>
                <w:sz w:val="24"/>
                <w:szCs w:val="24"/>
              </w:rPr>
              <w:t>t/a</w:t>
            </w:r>
            <w:r>
              <w:rPr>
                <w:rFonts w:hint="eastAsia"/>
                <w:bCs/>
                <w:color w:val="auto"/>
                <w:spacing w:val="-10"/>
                <w:sz w:val="24"/>
                <w:szCs w:val="24"/>
              </w:rPr>
              <w:t>；</w:t>
            </w:r>
            <w:r>
              <w:rPr>
                <w:rFonts w:hint="eastAsia" w:ascii="Times New Roman" w:hAnsi="Times New Roman" w:eastAsia="宋体" w:cs="Times New Roman"/>
                <w:color w:val="auto"/>
                <w:sz w:val="24"/>
                <w:szCs w:val="24"/>
                <w:highlight w:val="none"/>
              </w:rPr>
              <w:t>清理后直接装袋，</w:t>
            </w:r>
            <w:r>
              <w:rPr>
                <w:rFonts w:hint="default" w:ascii="Times New Roman" w:hAnsi="Times New Roman" w:eastAsia="宋体" w:cs="Times New Roman"/>
                <w:bCs/>
                <w:color w:val="auto"/>
                <w:spacing w:val="-10"/>
                <w:sz w:val="24"/>
                <w:szCs w:val="24"/>
                <w:highlight w:val="none"/>
                <w:lang w:val="en-US" w:eastAsia="zh-CN"/>
              </w:rPr>
              <w:t>外售综合利用</w:t>
            </w:r>
            <w:r>
              <w:rPr>
                <w:rFonts w:hint="eastAsia" w:cs="Times New Roman"/>
                <w:bCs/>
                <w:color w:val="auto"/>
                <w:spacing w:val="-10"/>
                <w:sz w:val="24"/>
                <w:szCs w:val="24"/>
                <w:highlight w:val="none"/>
                <w:lang w:val="en-US" w:eastAsia="zh-CN"/>
              </w:rPr>
              <w:t>，用于制作肥料</w:t>
            </w:r>
            <w:r>
              <w:rPr>
                <w:rFonts w:hint="default" w:ascii="Times New Roman" w:hAnsi="Times New Roman" w:eastAsia="宋体"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固体废物</w:t>
            </w:r>
            <w:r>
              <w:rPr>
                <w:rFonts w:hint="default" w:ascii="Times New Roman" w:hAnsi="Times New Roman" w:eastAsia="宋体" w:cs="Times New Roman"/>
                <w:color w:val="auto"/>
                <w:sz w:val="24"/>
                <w:szCs w:val="24"/>
                <w:highlight w:val="none"/>
                <w:lang w:eastAsia="zh-CN"/>
              </w:rPr>
              <w:t>代码为</w:t>
            </w:r>
            <w:r>
              <w:rPr>
                <w:rFonts w:hint="default" w:ascii="Times New Roman" w:hAnsi="Times New Roman" w:eastAsia="宋体" w:cs="Times New Roman"/>
                <w:color w:val="auto"/>
                <w:sz w:val="24"/>
                <w:szCs w:val="24"/>
                <w:highlight w:val="none"/>
                <w:lang w:val="en-US" w:eastAsia="zh-CN"/>
              </w:rPr>
              <w:t>900-002-S02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3</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0.315t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eastAsia" w:cs="Times New Roman"/>
                <w:bCs/>
                <w:color w:val="auto"/>
                <w:spacing w:val="-10"/>
                <w:sz w:val="24"/>
                <w:szCs w:val="24"/>
                <w:highlight w:val="none"/>
                <w:lang w:val="en-US" w:eastAsia="zh-CN"/>
              </w:rPr>
              <w:t>，本项目生活垃圾无新增</w:t>
            </w:r>
            <w:r>
              <w:rPr>
                <w:rFonts w:hint="default" w:ascii="Times New Roman" w:hAnsi="Times New Roman" w:eastAsia="宋体" w:cs="Times New Roman"/>
                <w:color w:val="auto"/>
                <w:sz w:val="24"/>
                <w:szCs w:val="24"/>
                <w:highlight w:val="none"/>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固体废物</w:t>
            </w:r>
            <w:r>
              <w:rPr>
                <w:rFonts w:hint="eastAsia" w:ascii="Times New Roman" w:hAnsi="Times New Roman" w:eastAsia="宋体" w:cs="Times New Roman"/>
                <w:color w:val="auto"/>
                <w:kern w:val="2"/>
                <w:sz w:val="24"/>
                <w:szCs w:val="24"/>
                <w:highlight w:val="none"/>
                <w:lang w:val="en-US" w:eastAsia="zh-CN" w:bidi="ar-SA"/>
              </w:rPr>
              <w:t>代码900-009-S59，由厂家检修后直接带走。</w:t>
            </w:r>
          </w:p>
          <w:p>
            <w:pPr>
              <w:pStyle w:val="25"/>
              <w:keepNext w:val="0"/>
              <w:keepLines w:val="0"/>
              <w:pageBreakBefore w:val="0"/>
              <w:widowControl w:val="0"/>
              <w:numPr>
                <w:ilvl w:val="0"/>
                <w:numId w:val="0"/>
              </w:numPr>
              <w:kinsoku/>
              <w:wordWrap/>
              <w:topLinePunct w:val="0"/>
              <w:autoSpaceDE/>
              <w:autoSpaceDN/>
              <w:bidi w:val="0"/>
              <w:spacing w:line="360" w:lineRule="auto"/>
              <w:ind w:left="420" w:leftChars="200"/>
              <w:textAlignment w:val="auto"/>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highlight w:val="none"/>
                <w:lang w:val="en-US" w:eastAsia="zh-CN" w:bidi="ar-SA"/>
              </w:rPr>
              <w:t>废离子交换树脂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本项目废弃离子交换树脂产生量约为0.3t/a，</w:t>
            </w:r>
            <w:r>
              <w:rPr>
                <w:rFonts w:hint="eastAsia" w:ascii="Times New Roman" w:hAnsi="Times New Roman" w:eastAsia="宋体" w:cs="Times New Roman"/>
                <w:color w:val="auto"/>
                <w:kern w:val="2"/>
                <w:sz w:val="24"/>
                <w:szCs w:val="24"/>
                <w:highlight w:val="none"/>
                <w:lang w:val="en-US" w:eastAsia="zh-CN" w:bidi="ar-SA"/>
              </w:rPr>
              <w:t>固体废物代码900-008-S59，</w:t>
            </w:r>
            <w:r>
              <w:rPr>
                <w:rFonts w:hint="default" w:ascii="Times New Roman" w:hAnsi="Times New Roman" w:eastAsia="宋体" w:cs="Times New Roman"/>
                <w:color w:val="auto"/>
                <w:kern w:val="2"/>
                <w:sz w:val="24"/>
                <w:szCs w:val="24"/>
                <w:highlight w:val="none"/>
                <w:lang w:val="en-US" w:eastAsia="zh-CN" w:bidi="ar-SA"/>
              </w:rPr>
              <w:t>锅炉软化水水处理装置产生的废离子交换树脂由厂家回收利用。</w:t>
            </w:r>
          </w:p>
          <w:p>
            <w:pPr>
              <w:keepNext w:val="0"/>
              <w:keepLines w:val="0"/>
              <w:pageBreakBefore w:val="0"/>
              <w:widowControl w:val="0"/>
              <w:numPr>
                <w:ilvl w:val="0"/>
                <w:numId w:val="3"/>
              </w:numPr>
              <w:kinsoku/>
              <w:wordWrap/>
              <w:overflowPunct/>
              <w:topLinePunct w:val="0"/>
              <w:autoSpaceDE/>
              <w:autoSpaceDN/>
              <w:bidi w:val="0"/>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沉淀池污泥</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沉淀池</w:t>
            </w:r>
            <w:r>
              <w:rPr>
                <w:rFonts w:hint="default" w:ascii="Times New Roman" w:hAnsi="Times New Roman" w:eastAsia="宋体" w:cs="Times New Roman"/>
                <w:color w:val="auto"/>
                <w:kern w:val="2"/>
                <w:sz w:val="24"/>
                <w:szCs w:val="24"/>
                <w:highlight w:val="none"/>
                <w:lang w:val="en-US" w:eastAsia="zh-CN" w:bidi="ar-SA"/>
              </w:rPr>
              <w:t>产生量约为0.</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固体废物代码900-0</w:t>
            </w:r>
            <w:r>
              <w:rPr>
                <w:rFonts w:hint="eastAsia" w:cs="Times New Roman"/>
                <w:color w:val="auto"/>
                <w:kern w:val="2"/>
                <w:sz w:val="24"/>
                <w:szCs w:val="24"/>
                <w:highlight w:val="none"/>
                <w:lang w:val="en-US" w:eastAsia="zh-CN" w:bidi="ar-SA"/>
              </w:rPr>
              <w:t>9</w:t>
            </w:r>
            <w:r>
              <w:rPr>
                <w:rFonts w:hint="eastAsia" w:ascii="Times New Roman" w:hAnsi="Times New Roman" w:eastAsia="宋体" w:cs="Times New Roman"/>
                <w:color w:val="auto"/>
                <w:kern w:val="2"/>
                <w:sz w:val="24"/>
                <w:szCs w:val="24"/>
                <w:highlight w:val="none"/>
                <w:lang w:val="en-US" w:eastAsia="zh-CN" w:bidi="ar-SA"/>
              </w:rPr>
              <w:t>-S</w:t>
            </w:r>
            <w:r>
              <w:rPr>
                <w:rFonts w:hint="eastAsia" w:cs="Times New Roman"/>
                <w:color w:val="auto"/>
                <w:kern w:val="2"/>
                <w:sz w:val="24"/>
                <w:szCs w:val="24"/>
                <w:highlight w:val="none"/>
                <w:lang w:val="en-US" w:eastAsia="zh-CN" w:bidi="ar-SA"/>
              </w:rPr>
              <w:t>07</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定期清掏送往垃圾填埋场填埋处置</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本项目固体废物处置率100%，对外环境影响较小。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固体废物产生情况见表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rPr>
              <w:t>。</w:t>
            </w:r>
          </w:p>
          <w:p>
            <w:pPr>
              <w:pStyle w:val="113"/>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1</w:t>
            </w:r>
            <w:r>
              <w:rPr>
                <w:rFonts w:hint="eastAsia"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val="en-US" w:eastAsia="zh-CN"/>
              </w:rPr>
              <w:t xml:space="preserve"> 固体废物污染源源强核算结果及相关参数一览表</w:t>
            </w:r>
          </w:p>
          <w:tbl>
            <w:tblPr>
              <w:tblStyle w:val="30"/>
              <w:tblW w:w="845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424"/>
              <w:gridCol w:w="1182"/>
              <w:gridCol w:w="1348"/>
              <w:gridCol w:w="1389"/>
              <w:gridCol w:w="1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1" w:type="dxa"/>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1424" w:type="dxa"/>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固体废物名称</w:t>
                  </w:r>
                </w:p>
              </w:tc>
              <w:tc>
                <w:tcPr>
                  <w:tcW w:w="2530" w:type="dxa"/>
                  <w:gridSpan w:val="2"/>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tc>
              <w:tc>
                <w:tcPr>
                  <w:tcW w:w="3250" w:type="dxa"/>
                  <w:gridSpan w:val="2"/>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核算方法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125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4"/>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0.315</w:t>
                  </w:r>
                </w:p>
              </w:tc>
              <w:tc>
                <w:tcPr>
                  <w:tcW w:w="1389" w:type="dxa"/>
                  <w:tcBorders>
                    <w:tl2br w:val="nil"/>
                    <w:tr2bl w:val="nil"/>
                  </w:tcBorders>
                  <w:noWrap w:val="0"/>
                  <w:vAlign w:val="center"/>
                </w:tcPr>
                <w:p>
                  <w:pPr>
                    <w:pStyle w:val="124"/>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0.315</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251" w:type="dxa"/>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除尘灰</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258.236</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258.236</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灰渣</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514.25</w:t>
                  </w:r>
                </w:p>
              </w:tc>
              <w:tc>
                <w:tcPr>
                  <w:tcW w:w="1389" w:type="dxa"/>
                  <w:tcBorders>
                    <w:tl2br w:val="nil"/>
                    <w:tr2bl w:val="nil"/>
                  </w:tcBorders>
                  <w:shd w:val="clear" w:color="auto" w:fill="auto"/>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514.25</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废离子交换树脂</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厂家回收处置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定期清掏送往垃圾填埋场填埋处置。</w:t>
                  </w:r>
                </w:p>
              </w:tc>
            </w:tr>
          </w:tbl>
          <w:p>
            <w:pPr>
              <w:spacing w:line="360" w:lineRule="auto"/>
              <w:ind w:firstLine="440" w:firstLineChars="200"/>
              <w:rPr>
                <w:color w:val="auto"/>
                <w:sz w:val="24"/>
              </w:rPr>
            </w:pPr>
            <w:r>
              <w:rPr>
                <w:rFonts w:hint="eastAsia" w:ascii="Times New Roman" w:hAnsi="Times New Roman" w:eastAsia="宋体" w:cs="Times New Roman"/>
                <w:bCs/>
                <w:color w:val="auto"/>
                <w:spacing w:val="-10"/>
                <w:kern w:val="2"/>
                <w:sz w:val="24"/>
                <w:szCs w:val="24"/>
                <w:highlight w:val="none"/>
                <w:lang w:val="en-US" w:eastAsia="zh-CN" w:bidi="ar-SA"/>
              </w:rPr>
              <w:t>综上所述，本项目产生的所有固废均得到了妥善的处理和应用，对固体废物全部按国家要求进行了处理处置，固体废物处理处置率达到100%，因此，对外环境影响较小。</w:t>
            </w:r>
          </w:p>
          <w:bookmarkEnd w:id="40"/>
          <w:p>
            <w:pPr>
              <w:snapToGrid w:val="0"/>
              <w:spacing w:line="360" w:lineRule="auto"/>
              <w:ind w:firstLine="482" w:firstLineChars="200"/>
              <w:rPr>
                <w:b/>
                <w:bCs/>
                <w:color w:val="auto"/>
                <w:sz w:val="24"/>
              </w:rPr>
            </w:pPr>
            <w:bookmarkStart w:id="41" w:name="_Toc7219"/>
            <w:r>
              <w:rPr>
                <w:rFonts w:hint="eastAsia"/>
                <w:b/>
                <w:bCs/>
                <w:color w:val="auto"/>
                <w:sz w:val="24"/>
              </w:rPr>
              <w:t>6</w:t>
            </w:r>
            <w:r>
              <w:rPr>
                <w:b/>
                <w:bCs/>
                <w:color w:val="auto"/>
                <w:sz w:val="24"/>
              </w:rPr>
              <w:t>、环保投资</w:t>
            </w:r>
            <w:bookmarkEnd w:id="41"/>
            <w:r>
              <w:rPr>
                <w:b/>
                <w:bCs/>
                <w:color w:val="auto"/>
                <w:sz w:val="24"/>
              </w:rPr>
              <w:t>估算</w:t>
            </w:r>
          </w:p>
          <w:p>
            <w:pPr>
              <w:spacing w:line="360" w:lineRule="auto"/>
              <w:ind w:firstLine="480"/>
              <w:rPr>
                <w:color w:val="auto"/>
                <w:sz w:val="24"/>
              </w:rPr>
            </w:pPr>
            <w:r>
              <w:rPr>
                <w:color w:val="auto"/>
                <w:sz w:val="24"/>
              </w:rPr>
              <w:t>本项目总投资</w:t>
            </w:r>
            <w:r>
              <w:rPr>
                <w:rFonts w:hint="eastAsia"/>
                <w:color w:val="auto"/>
                <w:sz w:val="24"/>
                <w:lang w:val="en-US" w:eastAsia="zh-CN"/>
              </w:rPr>
              <w:t>28.9</w:t>
            </w:r>
            <w:r>
              <w:rPr>
                <w:color w:val="auto"/>
                <w:sz w:val="24"/>
              </w:rPr>
              <w:t>万元，其中环保投资</w:t>
            </w:r>
            <w:r>
              <w:rPr>
                <w:rFonts w:hint="eastAsia"/>
                <w:color w:val="auto"/>
                <w:sz w:val="24"/>
                <w:lang w:val="en-US" w:eastAsia="zh-CN"/>
              </w:rPr>
              <w:t>6</w:t>
            </w:r>
            <w:r>
              <w:rPr>
                <w:color w:val="auto"/>
                <w:sz w:val="24"/>
              </w:rPr>
              <w:t>万元，环保投资比例约为</w:t>
            </w:r>
            <w:r>
              <w:rPr>
                <w:rFonts w:hint="eastAsia"/>
                <w:color w:val="auto"/>
                <w:sz w:val="24"/>
                <w:lang w:val="en-US" w:eastAsia="zh-CN"/>
              </w:rPr>
              <w:t>20.76</w:t>
            </w:r>
            <w:r>
              <w:rPr>
                <w:color w:val="auto"/>
                <w:sz w:val="24"/>
              </w:rPr>
              <w:t>%，其环保设施投资情况见下表。</w:t>
            </w:r>
          </w:p>
          <w:p>
            <w:pPr>
              <w:pStyle w:val="95"/>
              <w:numPr>
                <w:ilvl w:val="0"/>
                <w:numId w:val="0"/>
              </w:numPr>
              <w:adjustRightInd/>
              <w:snapToGrid/>
              <w:spacing w:line="240" w:lineRule="auto"/>
              <w:ind w:left="0" w:leftChars="0" w:firstLine="0" w:firstLineChars="0"/>
              <w:rPr>
                <w:b/>
                <w:color w:val="auto"/>
                <w:szCs w:val="24"/>
              </w:rPr>
            </w:pPr>
            <w:r>
              <w:rPr>
                <w:rFonts w:hint="eastAsia"/>
                <w:b/>
                <w:bCs/>
                <w:color w:val="auto"/>
                <w:kern w:val="0"/>
                <w:sz w:val="24"/>
                <w:szCs w:val="21"/>
                <w:lang w:val="en-US" w:eastAsia="zh-CN" w:bidi="ar-SA"/>
              </w:rPr>
              <w:t>表4-11</w:t>
            </w:r>
            <w:r>
              <w:rPr>
                <w:rFonts w:hint="eastAsia"/>
                <w:b/>
                <w:color w:val="auto"/>
                <w:szCs w:val="24"/>
              </w:rPr>
              <w:t xml:space="preserve">  </w:t>
            </w:r>
            <w:r>
              <w:rPr>
                <w:b/>
                <w:color w:val="auto"/>
                <w:szCs w:val="24"/>
              </w:rPr>
              <w:t xml:space="preserve">     主要环保措施及投资情况一览表</w:t>
            </w:r>
          </w:p>
          <w:tbl>
            <w:tblPr>
              <w:tblStyle w:val="30"/>
              <w:tblW w:w="845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23"/>
              <w:gridCol w:w="1739"/>
              <w:gridCol w:w="3140"/>
              <w:gridCol w:w="19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1623" w:type="dxa"/>
                  <w:noWrap w:val="0"/>
                  <w:vAlign w:val="center"/>
                </w:tcPr>
                <w:p>
                  <w:pPr>
                    <w:pStyle w:val="63"/>
                    <w:spacing w:before="24" w:after="24"/>
                    <w:rPr>
                      <w:rFonts w:ascii="Times New Roman"/>
                      <w:color w:val="auto"/>
                    </w:rPr>
                  </w:pPr>
                  <w:r>
                    <w:rPr>
                      <w:rFonts w:ascii="Times New Roman"/>
                      <w:color w:val="auto"/>
                    </w:rPr>
                    <w:t>类别</w:t>
                  </w:r>
                </w:p>
              </w:tc>
              <w:tc>
                <w:tcPr>
                  <w:tcW w:w="1739" w:type="dxa"/>
                  <w:noWrap w:val="0"/>
                  <w:vAlign w:val="center"/>
                </w:tcPr>
                <w:p>
                  <w:pPr>
                    <w:pStyle w:val="63"/>
                    <w:spacing w:before="24" w:after="24"/>
                    <w:rPr>
                      <w:rFonts w:ascii="Times New Roman"/>
                      <w:color w:val="auto"/>
                    </w:rPr>
                  </w:pPr>
                  <w:r>
                    <w:rPr>
                      <w:rFonts w:ascii="Times New Roman"/>
                      <w:color w:val="auto"/>
                    </w:rPr>
                    <w:t>处理对象</w:t>
                  </w:r>
                </w:p>
              </w:tc>
              <w:tc>
                <w:tcPr>
                  <w:tcW w:w="3140" w:type="dxa"/>
                  <w:noWrap w:val="0"/>
                  <w:vAlign w:val="center"/>
                </w:tcPr>
                <w:p>
                  <w:pPr>
                    <w:pStyle w:val="63"/>
                    <w:spacing w:before="24" w:after="24"/>
                    <w:rPr>
                      <w:rFonts w:ascii="Times New Roman"/>
                      <w:color w:val="auto"/>
                    </w:rPr>
                  </w:pPr>
                  <w:r>
                    <w:rPr>
                      <w:rFonts w:ascii="Times New Roman"/>
                      <w:color w:val="auto"/>
                    </w:rPr>
                    <w:t>环保设施名称</w:t>
                  </w:r>
                </w:p>
              </w:tc>
              <w:tc>
                <w:tcPr>
                  <w:tcW w:w="1956" w:type="dxa"/>
                  <w:noWrap w:val="0"/>
                  <w:vAlign w:val="center"/>
                </w:tcPr>
                <w:p>
                  <w:pPr>
                    <w:pStyle w:val="63"/>
                    <w:spacing w:before="24" w:after="24"/>
                    <w:rPr>
                      <w:rFonts w:ascii="Times New Roman"/>
                      <w:color w:val="auto"/>
                    </w:rPr>
                  </w:pPr>
                  <w:r>
                    <w:rPr>
                      <w:rFonts w:ascii="Times New Roman"/>
                      <w:color w:val="auto"/>
                    </w:rPr>
                    <w:t>环保投资</w:t>
                  </w:r>
                  <w:r>
                    <w:rPr>
                      <w:rFonts w:hint="eastAsia" w:ascii="Times New Roman"/>
                      <w:color w:val="auto"/>
                      <w:lang w:eastAsia="zh-CN"/>
                    </w:rPr>
                    <w:t>（</w:t>
                  </w:r>
                  <w:r>
                    <w:rPr>
                      <w:rFonts w:ascii="Times New Roman"/>
                      <w:color w:val="auto"/>
                    </w:rPr>
                    <w:t>万元</w:t>
                  </w:r>
                  <w:r>
                    <w:rPr>
                      <w:rFonts w:hint="eastAsia" w:ascii="Times New Roman"/>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3" w:type="dxa"/>
                  <w:noWrap w:val="0"/>
                  <w:vAlign w:val="center"/>
                </w:tcPr>
                <w:p>
                  <w:pPr>
                    <w:pStyle w:val="63"/>
                    <w:spacing w:before="24" w:after="24"/>
                    <w:rPr>
                      <w:rFonts w:ascii="Times New Roman"/>
                      <w:color w:val="auto"/>
                    </w:rPr>
                  </w:pPr>
                  <w:r>
                    <w:rPr>
                      <w:rFonts w:ascii="Times New Roman"/>
                      <w:color w:val="auto"/>
                    </w:rPr>
                    <w:t>废气</w:t>
                  </w:r>
                </w:p>
              </w:tc>
              <w:tc>
                <w:tcPr>
                  <w:tcW w:w="1739" w:type="dxa"/>
                  <w:noWrap w:val="0"/>
                  <w:vAlign w:val="center"/>
                </w:tcPr>
                <w:p>
                  <w:pPr>
                    <w:pStyle w:val="63"/>
                    <w:spacing w:before="24" w:after="24"/>
                    <w:rPr>
                      <w:rFonts w:ascii="Times New Roman"/>
                      <w:color w:val="auto"/>
                    </w:rPr>
                  </w:pPr>
                  <w:r>
                    <w:rPr>
                      <w:rFonts w:hint="eastAsia" w:ascii="Times New Roman"/>
                      <w:color w:val="auto"/>
                    </w:rPr>
                    <w:t>锅炉烟气</w:t>
                  </w:r>
                </w:p>
              </w:tc>
              <w:tc>
                <w:tcPr>
                  <w:tcW w:w="3140" w:type="dxa"/>
                  <w:noWrap w:val="0"/>
                  <w:vAlign w:val="center"/>
                </w:tcPr>
                <w:p>
                  <w:pPr>
                    <w:pStyle w:val="63"/>
                    <w:spacing w:before="24" w:after="24"/>
                    <w:rPr>
                      <w:rFonts w:hint="eastAsia" w:ascii="Times New Roman"/>
                      <w:color w:val="auto"/>
                    </w:rPr>
                  </w:pPr>
                  <w:r>
                    <w:rPr>
                      <w:rFonts w:hint="eastAsia" w:ascii="Times New Roman"/>
                      <w:color w:val="auto"/>
                    </w:rPr>
                    <w:t>低氮燃烧技术+</w:t>
                  </w:r>
                  <w:r>
                    <w:rPr>
                      <w:rFonts w:hint="eastAsia" w:ascii="Times New Roman"/>
                      <w:color w:val="auto"/>
                      <w:lang w:val="en-US" w:eastAsia="zh-CN"/>
                    </w:rPr>
                    <w:t>旋风除尘器+布袋除尘器+</w:t>
                  </w:r>
                  <w:r>
                    <w:rPr>
                      <w:rFonts w:hint="eastAsia" w:ascii="Times New Roman"/>
                      <w:color w:val="auto"/>
                    </w:rPr>
                    <w:t>1根</w:t>
                  </w:r>
                  <w:r>
                    <w:rPr>
                      <w:rFonts w:hint="eastAsia" w:ascii="Times New Roman"/>
                      <w:color w:val="auto"/>
                      <w:lang w:val="en-US" w:eastAsia="zh-CN"/>
                    </w:rPr>
                    <w:t>30</w:t>
                  </w:r>
                  <w:r>
                    <w:rPr>
                      <w:rFonts w:hint="eastAsia" w:ascii="Times New Roman"/>
                      <w:color w:val="auto"/>
                    </w:rPr>
                    <w:t>m高排气筒（DA001）</w:t>
                  </w:r>
                </w:p>
              </w:tc>
              <w:tc>
                <w:tcPr>
                  <w:tcW w:w="1956" w:type="dxa"/>
                  <w:noWrap w:val="0"/>
                  <w:vAlign w:val="center"/>
                </w:tcPr>
                <w:p>
                  <w:pPr>
                    <w:pStyle w:val="63"/>
                    <w:spacing w:before="24" w:after="24"/>
                    <w:rPr>
                      <w:rFonts w:hint="default" w:ascii="Times New Roman"/>
                      <w:color w:val="auto"/>
                      <w:lang w:val="en-US"/>
                    </w:rPr>
                  </w:pPr>
                  <w:r>
                    <w:rPr>
                      <w:rFonts w:hint="eastAsia" w:ascii="Times New Roman"/>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3" w:type="dxa"/>
                  <w:noWrap w:val="0"/>
                  <w:vAlign w:val="center"/>
                </w:tcPr>
                <w:p>
                  <w:pPr>
                    <w:pStyle w:val="63"/>
                    <w:spacing w:before="24" w:after="24"/>
                    <w:rPr>
                      <w:rFonts w:ascii="Times New Roman"/>
                      <w:color w:val="auto"/>
                    </w:rPr>
                  </w:pPr>
                  <w:r>
                    <w:rPr>
                      <w:rFonts w:ascii="Times New Roman"/>
                      <w:color w:val="auto"/>
                    </w:rPr>
                    <w:t>噪声</w:t>
                  </w:r>
                </w:p>
              </w:tc>
              <w:tc>
                <w:tcPr>
                  <w:tcW w:w="1739" w:type="dxa"/>
                  <w:noWrap w:val="0"/>
                  <w:vAlign w:val="center"/>
                </w:tcPr>
                <w:p>
                  <w:pPr>
                    <w:pStyle w:val="63"/>
                    <w:spacing w:before="24" w:after="24"/>
                    <w:rPr>
                      <w:rFonts w:ascii="Times New Roman"/>
                      <w:color w:val="auto"/>
                    </w:rPr>
                  </w:pPr>
                  <w:r>
                    <w:rPr>
                      <w:rFonts w:ascii="Times New Roman"/>
                      <w:color w:val="auto"/>
                    </w:rPr>
                    <w:t>隔声、减振</w:t>
                  </w:r>
                </w:p>
              </w:tc>
              <w:tc>
                <w:tcPr>
                  <w:tcW w:w="3140" w:type="dxa"/>
                  <w:noWrap w:val="0"/>
                  <w:vAlign w:val="center"/>
                </w:tcPr>
                <w:p>
                  <w:pPr>
                    <w:pStyle w:val="63"/>
                    <w:spacing w:before="24" w:after="24"/>
                    <w:rPr>
                      <w:rFonts w:hint="default" w:ascii="Times New Roman" w:eastAsia="宋体"/>
                      <w:color w:val="auto"/>
                      <w:lang w:val="en-US" w:eastAsia="zh-CN"/>
                    </w:rPr>
                  </w:pPr>
                  <w:r>
                    <w:rPr>
                      <w:rFonts w:ascii="Times New Roman"/>
                      <w:color w:val="auto"/>
                    </w:rPr>
                    <w:t>隔声门窗、</w:t>
                  </w:r>
                  <w:r>
                    <w:rPr>
                      <w:rFonts w:hint="eastAsia" w:ascii="Times New Roman"/>
                      <w:color w:val="auto"/>
                    </w:rPr>
                    <w:t>软连接、</w:t>
                  </w:r>
                  <w:r>
                    <w:rPr>
                      <w:rFonts w:ascii="Times New Roman"/>
                      <w:color w:val="auto"/>
                    </w:rPr>
                    <w:t>减震垫</w:t>
                  </w:r>
                  <w:r>
                    <w:rPr>
                      <w:rFonts w:hint="eastAsia" w:ascii="Times New Roman"/>
                      <w:color w:val="auto"/>
                      <w:lang w:eastAsia="zh-CN"/>
                    </w:rPr>
                    <w:t>、</w:t>
                  </w:r>
                  <w:r>
                    <w:rPr>
                      <w:rFonts w:hint="eastAsia" w:ascii="Times New Roman"/>
                      <w:color w:val="auto"/>
                      <w:lang w:val="en-US" w:eastAsia="zh-CN"/>
                    </w:rPr>
                    <w:t>隔声门窗等</w:t>
                  </w:r>
                </w:p>
              </w:tc>
              <w:tc>
                <w:tcPr>
                  <w:tcW w:w="1956" w:type="dxa"/>
                  <w:noWrap w:val="0"/>
                  <w:vAlign w:val="center"/>
                </w:tcPr>
                <w:p>
                  <w:pPr>
                    <w:pStyle w:val="63"/>
                    <w:spacing w:before="24" w:after="24"/>
                    <w:rPr>
                      <w:rFonts w:hint="eastAsia" w:ascii="Times New Roman" w:eastAsia="宋体"/>
                      <w:color w:val="auto"/>
                      <w:lang w:eastAsia="zh-CN"/>
                    </w:rPr>
                  </w:pPr>
                  <w:r>
                    <w:rPr>
                      <w:rFonts w:hint="eastAsia" w:ascii="Times New Roman"/>
                      <w:color w:val="auto"/>
                    </w:rPr>
                    <w:t>0.</w:t>
                  </w:r>
                  <w:r>
                    <w:rPr>
                      <w:rFonts w:hint="eastAsia" w:ascii="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3"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废水</w:t>
                  </w:r>
                </w:p>
              </w:tc>
              <w:tc>
                <w:tcPr>
                  <w:tcW w:w="1739"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锅炉排水</w:t>
                  </w:r>
                </w:p>
              </w:tc>
              <w:tc>
                <w:tcPr>
                  <w:tcW w:w="3140"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絮凝沉淀</w:t>
                  </w:r>
                </w:p>
              </w:tc>
              <w:tc>
                <w:tcPr>
                  <w:tcW w:w="1956"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623" w:type="dxa"/>
                  <w:noWrap w:val="0"/>
                  <w:vAlign w:val="center"/>
                </w:tcPr>
                <w:p>
                  <w:pPr>
                    <w:pStyle w:val="63"/>
                    <w:spacing w:before="24" w:after="24"/>
                    <w:rPr>
                      <w:rFonts w:hint="eastAsia" w:ascii="Times New Roman"/>
                      <w:color w:val="auto"/>
                    </w:rPr>
                  </w:pPr>
                  <w:r>
                    <w:rPr>
                      <w:rFonts w:hint="eastAsia" w:ascii="Times New Roman"/>
                      <w:color w:val="auto"/>
                    </w:rPr>
                    <w:t>固体废物</w:t>
                  </w:r>
                </w:p>
              </w:tc>
              <w:tc>
                <w:tcPr>
                  <w:tcW w:w="1739" w:type="dxa"/>
                  <w:noWrap w:val="0"/>
                  <w:vAlign w:val="center"/>
                </w:tcPr>
                <w:p>
                  <w:pPr>
                    <w:pStyle w:val="63"/>
                    <w:spacing w:before="24" w:after="24"/>
                    <w:rPr>
                      <w:rFonts w:hint="eastAsia" w:ascii="Times New Roman" w:eastAsia="宋体"/>
                      <w:color w:val="auto"/>
                      <w:lang w:eastAsia="zh-CN"/>
                    </w:rPr>
                  </w:pPr>
                  <w:r>
                    <w:rPr>
                      <w:rFonts w:hint="eastAsia" w:ascii="Times New Roman"/>
                      <w:color w:val="auto"/>
                      <w:lang w:val="en-US" w:eastAsia="zh-CN"/>
                    </w:rPr>
                    <w:t>固体废物</w:t>
                  </w:r>
                </w:p>
              </w:tc>
              <w:tc>
                <w:tcPr>
                  <w:tcW w:w="3140"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固体废物处置</w:t>
                  </w:r>
                </w:p>
              </w:tc>
              <w:tc>
                <w:tcPr>
                  <w:tcW w:w="1956" w:type="dxa"/>
                  <w:noWrap w:val="0"/>
                  <w:vAlign w:val="center"/>
                </w:tcPr>
                <w:p>
                  <w:pPr>
                    <w:pStyle w:val="63"/>
                    <w:spacing w:before="24" w:after="24"/>
                    <w:rPr>
                      <w:rFonts w:hint="eastAsia" w:ascii="Times New Roman" w:eastAsia="宋体"/>
                      <w:color w:val="auto"/>
                      <w:lang w:eastAsia="zh-CN"/>
                    </w:rPr>
                  </w:pPr>
                  <w:r>
                    <w:rPr>
                      <w:rFonts w:hint="eastAsia" w:ascii="Times New Roman"/>
                      <w:color w:val="auto"/>
                    </w:rPr>
                    <w:t>0.</w:t>
                  </w:r>
                  <w:r>
                    <w:rPr>
                      <w:rFonts w:hint="eastAsia" w:ascii="Times New Roman"/>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623"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其他</w:t>
                  </w:r>
                </w:p>
              </w:tc>
              <w:tc>
                <w:tcPr>
                  <w:tcW w:w="1739"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运行维护</w:t>
                  </w:r>
                </w:p>
              </w:tc>
              <w:tc>
                <w:tcPr>
                  <w:tcW w:w="3140" w:type="dxa"/>
                  <w:noWrap w:val="0"/>
                  <w:vAlign w:val="center"/>
                </w:tcPr>
                <w:p>
                  <w:pPr>
                    <w:pStyle w:val="63"/>
                    <w:spacing w:before="24" w:after="24"/>
                    <w:rPr>
                      <w:rFonts w:ascii="Times New Roman"/>
                      <w:color w:val="auto"/>
                    </w:rPr>
                  </w:pPr>
                </w:p>
              </w:tc>
              <w:tc>
                <w:tcPr>
                  <w:tcW w:w="1956"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623" w:type="dxa"/>
                  <w:noWrap w:val="0"/>
                  <w:vAlign w:val="center"/>
                </w:tcPr>
                <w:p>
                  <w:pPr>
                    <w:pStyle w:val="63"/>
                    <w:spacing w:before="24" w:after="24"/>
                    <w:rPr>
                      <w:rFonts w:hint="eastAsia" w:ascii="Times New Roman"/>
                      <w:color w:val="auto"/>
                    </w:rPr>
                  </w:pPr>
                  <w:r>
                    <w:rPr>
                      <w:rFonts w:hint="eastAsia" w:ascii="Times New Roman"/>
                      <w:color w:val="auto"/>
                    </w:rPr>
                    <w:t>合计</w:t>
                  </w:r>
                </w:p>
              </w:tc>
              <w:tc>
                <w:tcPr>
                  <w:tcW w:w="1739" w:type="dxa"/>
                  <w:noWrap w:val="0"/>
                  <w:vAlign w:val="center"/>
                </w:tcPr>
                <w:p>
                  <w:pPr>
                    <w:pStyle w:val="63"/>
                    <w:spacing w:before="24" w:after="24"/>
                    <w:rPr>
                      <w:rFonts w:hint="eastAsia" w:ascii="Times New Roman"/>
                      <w:color w:val="auto"/>
                    </w:rPr>
                  </w:pPr>
                </w:p>
              </w:tc>
              <w:tc>
                <w:tcPr>
                  <w:tcW w:w="3140" w:type="dxa"/>
                  <w:noWrap w:val="0"/>
                  <w:vAlign w:val="center"/>
                </w:tcPr>
                <w:p>
                  <w:pPr>
                    <w:pStyle w:val="63"/>
                    <w:spacing w:before="24" w:after="24"/>
                    <w:rPr>
                      <w:rFonts w:ascii="Times New Roman"/>
                      <w:color w:val="auto"/>
                    </w:rPr>
                  </w:pPr>
                </w:p>
              </w:tc>
              <w:tc>
                <w:tcPr>
                  <w:tcW w:w="1956"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6.0</w:t>
                  </w:r>
                </w:p>
              </w:tc>
            </w:tr>
          </w:tbl>
          <w:p>
            <w:pPr>
              <w:spacing w:line="360" w:lineRule="auto"/>
              <w:rPr>
                <w:rFonts w:hint="eastAsia"/>
                <w:bCs/>
                <w:color w:val="auto"/>
                <w:spacing w:val="-10"/>
                <w:szCs w:val="21"/>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cols w:space="720" w:num="1"/>
          <w:docGrid w:linePitch="312" w:charSpace="0"/>
        </w:sectPr>
      </w:pPr>
    </w:p>
    <w:p>
      <w:pPr>
        <w:pStyle w:val="27"/>
        <w:jc w:val="center"/>
        <w:outlineLvl w:val="0"/>
        <w:rPr>
          <w:rFonts w:ascii="Times New Roman" w:hAnsi="Times New Roman" w:eastAsia="黑体"/>
          <w:snapToGrid w:val="0"/>
          <w:color w:val="auto"/>
          <w:sz w:val="30"/>
          <w:szCs w:val="30"/>
        </w:rPr>
      </w:pPr>
      <w:bookmarkStart w:id="42" w:name="_Toc6372"/>
      <w:r>
        <w:rPr>
          <w:rFonts w:ascii="Times New Roman" w:hAnsi="Times New Roman" w:eastAsia="黑体"/>
          <w:snapToGrid w:val="0"/>
          <w:color w:val="auto"/>
          <w:sz w:val="30"/>
          <w:szCs w:val="30"/>
        </w:rPr>
        <w:t>五、</w:t>
      </w:r>
      <w:bookmarkStart w:id="43" w:name="_Hlk54167917"/>
      <w:r>
        <w:rPr>
          <w:rFonts w:ascii="Times New Roman" w:hAnsi="Times New Roman" w:eastAsia="黑体"/>
          <w:snapToGrid w:val="0"/>
          <w:color w:val="auto"/>
          <w:sz w:val="30"/>
          <w:szCs w:val="30"/>
        </w:rPr>
        <w:t>环境保护措施监督检查清单</w:t>
      </w:r>
      <w:bookmarkEnd w:id="42"/>
      <w:bookmarkEnd w:id="43"/>
    </w:p>
    <w:tbl>
      <w:tblPr>
        <w:tblStyle w:val="30"/>
        <w:tblW w:w="880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852"/>
        <w:gridCol w:w="851"/>
        <w:gridCol w:w="1133"/>
        <w:gridCol w:w="1984"/>
        <w:gridCol w:w="24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38" w:type="dxa"/>
            <w:tcBorders>
              <w:tl2br w:val="single" w:color="auto" w:sz="4" w:space="0"/>
            </w:tcBorders>
            <w:noWrap w:val="0"/>
            <w:vAlign w:val="top"/>
          </w:tcPr>
          <w:p>
            <w:pPr>
              <w:adjustRightInd w:val="0"/>
              <w:snapToGrid w:val="0"/>
              <w:ind w:firstLine="840"/>
              <w:rPr>
                <w:color w:val="auto"/>
                <w:sz w:val="24"/>
                <w:szCs w:val="24"/>
              </w:rPr>
            </w:pPr>
            <w:r>
              <w:rPr>
                <w:color w:val="auto"/>
                <w:sz w:val="24"/>
                <w:szCs w:val="24"/>
              </w:rPr>
              <w:t>内容</w:t>
            </w:r>
          </w:p>
          <w:p>
            <w:pPr>
              <w:adjustRightInd w:val="0"/>
              <w:snapToGrid w:val="0"/>
              <w:rPr>
                <w:color w:val="auto"/>
                <w:sz w:val="24"/>
                <w:szCs w:val="24"/>
              </w:rPr>
            </w:pPr>
            <w:r>
              <w:rPr>
                <w:color w:val="auto"/>
                <w:sz w:val="24"/>
                <w:szCs w:val="24"/>
              </w:rPr>
              <w:t>要素</w:t>
            </w:r>
          </w:p>
        </w:tc>
        <w:tc>
          <w:tcPr>
            <w:tcW w:w="1703" w:type="dxa"/>
            <w:gridSpan w:val="2"/>
            <w:noWrap w:val="0"/>
            <w:vAlign w:val="center"/>
          </w:tcPr>
          <w:p>
            <w:pPr>
              <w:adjustRightInd w:val="0"/>
              <w:snapToGrid w:val="0"/>
              <w:jc w:val="center"/>
              <w:rPr>
                <w:color w:val="auto"/>
                <w:sz w:val="24"/>
                <w:szCs w:val="24"/>
              </w:rPr>
            </w:pPr>
            <w:r>
              <w:rPr>
                <w:color w:val="auto"/>
                <w:sz w:val="24"/>
                <w:szCs w:val="24"/>
              </w:rPr>
              <w:t>排放口</w:t>
            </w:r>
            <w:r>
              <w:rPr>
                <w:rFonts w:hint="eastAsia"/>
                <w:color w:val="auto"/>
                <w:sz w:val="24"/>
                <w:szCs w:val="24"/>
                <w:lang w:eastAsia="zh-CN"/>
              </w:rPr>
              <w:t>（</w:t>
            </w:r>
            <w:r>
              <w:rPr>
                <w:color w:val="auto"/>
                <w:sz w:val="24"/>
                <w:szCs w:val="24"/>
              </w:rPr>
              <w:t>编号、</w:t>
            </w:r>
          </w:p>
          <w:p>
            <w:pPr>
              <w:adjustRightInd w:val="0"/>
              <w:snapToGrid w:val="0"/>
              <w:jc w:val="center"/>
              <w:rPr>
                <w:color w:val="auto"/>
                <w:sz w:val="24"/>
                <w:szCs w:val="24"/>
              </w:rPr>
            </w:pPr>
            <w:r>
              <w:rPr>
                <w:color w:val="auto"/>
                <w:sz w:val="24"/>
                <w:szCs w:val="24"/>
              </w:rPr>
              <w:t>名称</w:t>
            </w:r>
            <w:r>
              <w:rPr>
                <w:rFonts w:hint="eastAsia"/>
                <w:color w:val="auto"/>
                <w:sz w:val="24"/>
                <w:szCs w:val="24"/>
                <w:lang w:eastAsia="zh-CN"/>
              </w:rPr>
              <w:t>）</w:t>
            </w:r>
            <w:r>
              <w:rPr>
                <w:color w:val="auto"/>
                <w:sz w:val="24"/>
                <w:szCs w:val="24"/>
              </w:rPr>
              <w:t>/污染源</w:t>
            </w:r>
          </w:p>
        </w:tc>
        <w:tc>
          <w:tcPr>
            <w:tcW w:w="1133" w:type="dxa"/>
            <w:noWrap w:val="0"/>
            <w:vAlign w:val="center"/>
          </w:tcPr>
          <w:p>
            <w:pPr>
              <w:adjustRightInd w:val="0"/>
              <w:snapToGrid w:val="0"/>
              <w:jc w:val="center"/>
              <w:rPr>
                <w:color w:val="auto"/>
                <w:sz w:val="24"/>
                <w:szCs w:val="24"/>
              </w:rPr>
            </w:pPr>
            <w:r>
              <w:rPr>
                <w:color w:val="auto"/>
                <w:sz w:val="24"/>
                <w:szCs w:val="24"/>
              </w:rPr>
              <w:t>污染物项目</w:t>
            </w:r>
          </w:p>
        </w:tc>
        <w:tc>
          <w:tcPr>
            <w:tcW w:w="1984" w:type="dxa"/>
            <w:noWrap w:val="0"/>
            <w:vAlign w:val="center"/>
          </w:tcPr>
          <w:p>
            <w:pPr>
              <w:adjustRightInd w:val="0"/>
              <w:snapToGrid w:val="0"/>
              <w:jc w:val="center"/>
              <w:rPr>
                <w:color w:val="auto"/>
                <w:sz w:val="24"/>
                <w:szCs w:val="24"/>
              </w:rPr>
            </w:pPr>
            <w:r>
              <w:rPr>
                <w:color w:val="auto"/>
                <w:sz w:val="24"/>
                <w:szCs w:val="24"/>
              </w:rPr>
              <w:t>环境保护措施</w:t>
            </w:r>
          </w:p>
        </w:tc>
        <w:tc>
          <w:tcPr>
            <w:tcW w:w="2444" w:type="dxa"/>
            <w:noWrap w:val="0"/>
            <w:vAlign w:val="center"/>
          </w:tcPr>
          <w:p>
            <w:pPr>
              <w:adjustRightInd w:val="0"/>
              <w:snapToGrid w:val="0"/>
              <w:jc w:val="center"/>
              <w:rPr>
                <w:color w:val="auto"/>
                <w:sz w:val="24"/>
                <w:szCs w:val="24"/>
              </w:rPr>
            </w:pPr>
            <w:r>
              <w:rPr>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大气环境</w:t>
            </w:r>
          </w:p>
        </w:tc>
        <w:tc>
          <w:tcPr>
            <w:tcW w:w="852" w:type="dxa"/>
            <w:tcBorders>
              <w:top w:val="single" w:color="auto" w:sz="4" w:space="0"/>
            </w:tcBorders>
            <w:noWrap w:val="0"/>
            <w:vAlign w:val="center"/>
          </w:tcPr>
          <w:p>
            <w:pPr>
              <w:adjustRightInd w:val="0"/>
              <w:snapToGrid w:val="0"/>
              <w:jc w:val="center"/>
              <w:rPr>
                <w:color w:val="auto"/>
                <w:sz w:val="24"/>
                <w:szCs w:val="24"/>
              </w:rPr>
            </w:pPr>
            <w:r>
              <w:rPr>
                <w:rFonts w:hint="eastAsia"/>
                <w:color w:val="auto"/>
                <w:sz w:val="24"/>
                <w:szCs w:val="24"/>
              </w:rPr>
              <w:t>锅炉</w:t>
            </w:r>
          </w:p>
          <w:p>
            <w:pPr>
              <w:adjustRightInd w:val="0"/>
              <w:snapToGrid w:val="0"/>
              <w:jc w:val="center"/>
              <w:rPr>
                <w:color w:val="auto"/>
                <w:sz w:val="24"/>
                <w:szCs w:val="24"/>
              </w:rPr>
            </w:pPr>
            <w:r>
              <w:rPr>
                <w:color w:val="auto"/>
                <w:sz w:val="24"/>
                <w:szCs w:val="24"/>
              </w:rPr>
              <w:t>排口</w:t>
            </w:r>
          </w:p>
          <w:p>
            <w:pPr>
              <w:adjustRightInd w:val="0"/>
              <w:snapToGrid w:val="0"/>
              <w:jc w:val="center"/>
              <w:rPr>
                <w:color w:val="auto"/>
                <w:sz w:val="24"/>
                <w:szCs w:val="24"/>
              </w:rPr>
            </w:pPr>
            <w:r>
              <w:rPr>
                <w:rFonts w:hint="eastAsia"/>
                <w:color w:val="auto"/>
                <w:sz w:val="24"/>
                <w:szCs w:val="32"/>
              </w:rPr>
              <w:t>DA001</w:t>
            </w:r>
          </w:p>
        </w:tc>
        <w:tc>
          <w:tcPr>
            <w:tcW w:w="851" w:type="dxa"/>
            <w:noWrap w:val="0"/>
            <w:vAlign w:val="center"/>
          </w:tcPr>
          <w:p>
            <w:pPr>
              <w:adjustRightInd w:val="0"/>
              <w:snapToGrid w:val="0"/>
              <w:jc w:val="center"/>
              <w:rPr>
                <w:color w:val="auto"/>
                <w:sz w:val="24"/>
                <w:szCs w:val="24"/>
              </w:rPr>
            </w:pPr>
            <w:r>
              <w:rPr>
                <w:color w:val="auto"/>
                <w:sz w:val="24"/>
                <w:szCs w:val="24"/>
              </w:rPr>
              <w:t>锅炉</w:t>
            </w:r>
          </w:p>
          <w:p>
            <w:pPr>
              <w:adjustRightInd w:val="0"/>
              <w:snapToGrid w:val="0"/>
              <w:jc w:val="center"/>
              <w:rPr>
                <w:color w:val="auto"/>
                <w:sz w:val="24"/>
                <w:szCs w:val="24"/>
              </w:rPr>
            </w:pPr>
            <w:r>
              <w:rPr>
                <w:color w:val="auto"/>
                <w:sz w:val="24"/>
                <w:szCs w:val="24"/>
              </w:rPr>
              <w:t>烟气</w:t>
            </w:r>
          </w:p>
        </w:tc>
        <w:tc>
          <w:tcPr>
            <w:tcW w:w="1133" w:type="dxa"/>
            <w:noWrap w:val="0"/>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rPr>
              <w:t>颗粒物</w:t>
            </w:r>
            <w:r>
              <w:rPr>
                <w:color w:val="auto"/>
                <w:sz w:val="24"/>
                <w:szCs w:val="24"/>
              </w:rPr>
              <w:t>、SO</w:t>
            </w:r>
            <w:r>
              <w:rPr>
                <w:color w:val="auto"/>
                <w:sz w:val="24"/>
                <w:szCs w:val="24"/>
                <w:vertAlign w:val="subscript"/>
              </w:rPr>
              <w:t>2</w:t>
            </w:r>
            <w:r>
              <w:rPr>
                <w:color w:val="auto"/>
                <w:sz w:val="24"/>
                <w:szCs w:val="24"/>
              </w:rPr>
              <w:t>、NO</w:t>
            </w:r>
            <w:r>
              <w:rPr>
                <w:color w:val="auto"/>
                <w:sz w:val="24"/>
                <w:szCs w:val="24"/>
                <w:vertAlign w:val="subscript"/>
              </w:rPr>
              <w:t>X</w:t>
            </w:r>
            <w:r>
              <w:rPr>
                <w:rFonts w:hint="eastAsia"/>
                <w:color w:val="auto"/>
                <w:sz w:val="24"/>
                <w:szCs w:val="24"/>
                <w:vertAlign w:val="subscript"/>
                <w:lang w:eastAsia="zh-CN"/>
              </w:rPr>
              <w:t>、</w:t>
            </w:r>
            <w:r>
              <w:rPr>
                <w:rFonts w:hint="eastAsia"/>
                <w:color w:val="auto"/>
                <w:sz w:val="24"/>
                <w:szCs w:val="24"/>
                <w:vertAlign w:val="baseline"/>
                <w:lang w:val="en-US" w:eastAsia="zh-CN"/>
              </w:rPr>
              <w:t>烟气黑度</w:t>
            </w:r>
          </w:p>
        </w:tc>
        <w:tc>
          <w:tcPr>
            <w:tcW w:w="1984" w:type="dxa"/>
            <w:noWrap w:val="0"/>
            <w:vAlign w:val="center"/>
          </w:tcPr>
          <w:p>
            <w:pPr>
              <w:adjustRightInd w:val="0"/>
              <w:snapToGrid w:val="0"/>
              <w:jc w:val="center"/>
              <w:rPr>
                <w:color w:val="auto"/>
                <w:sz w:val="24"/>
                <w:szCs w:val="24"/>
              </w:rPr>
            </w:pPr>
            <w:r>
              <w:rPr>
                <w:color w:val="auto"/>
                <w:sz w:val="24"/>
                <w:szCs w:val="24"/>
              </w:rPr>
              <w:t>低氮燃烧</w:t>
            </w:r>
            <w:r>
              <w:rPr>
                <w:rFonts w:hint="eastAsia"/>
                <w:color w:val="auto"/>
                <w:sz w:val="24"/>
                <w:szCs w:val="24"/>
              </w:rPr>
              <w:t>+</w:t>
            </w:r>
            <w:r>
              <w:rPr>
                <w:rFonts w:hint="eastAsia"/>
                <w:color w:val="auto"/>
                <w:sz w:val="24"/>
                <w:szCs w:val="24"/>
                <w:lang w:val="en-US" w:eastAsia="zh-CN"/>
              </w:rPr>
              <w:t>旋风除尘器+布袋除尘器+30</w:t>
            </w:r>
            <w:r>
              <w:rPr>
                <w:rFonts w:hint="eastAsia"/>
                <w:color w:val="auto"/>
                <w:sz w:val="24"/>
                <w:szCs w:val="24"/>
              </w:rPr>
              <w:t>m高排气筒排放</w:t>
            </w:r>
          </w:p>
        </w:tc>
        <w:tc>
          <w:tcPr>
            <w:tcW w:w="2444" w:type="dxa"/>
            <w:noWrap w:val="0"/>
            <w:vAlign w:val="center"/>
          </w:tcPr>
          <w:p>
            <w:pPr>
              <w:adjustRightInd w:val="0"/>
              <w:snapToGrid w:val="0"/>
              <w:jc w:val="center"/>
              <w:rPr>
                <w:color w:val="auto"/>
                <w:sz w:val="24"/>
                <w:szCs w:val="24"/>
              </w:rPr>
            </w:pPr>
            <w:r>
              <w:rPr>
                <w:color w:val="auto"/>
                <w:sz w:val="24"/>
                <w:szCs w:val="24"/>
              </w:rPr>
              <w:t>《锅炉大气污染物排放标准》（GB13271-2014）</w:t>
            </w:r>
            <w:r>
              <w:rPr>
                <w:rFonts w:hint="eastAsia"/>
                <w:color w:val="auto"/>
                <w:sz w:val="24"/>
                <w:szCs w:val="24"/>
                <w:lang w:val="en-US" w:eastAsia="zh-CN"/>
              </w:rPr>
              <w:t>表2</w:t>
            </w:r>
            <w:r>
              <w:rPr>
                <w:color w:val="auto"/>
                <w:sz w:val="24"/>
                <w:szCs w:val="24"/>
              </w:rPr>
              <w:t>燃</w:t>
            </w:r>
            <w:r>
              <w:rPr>
                <w:rFonts w:hint="eastAsia"/>
                <w:color w:val="auto"/>
                <w:sz w:val="24"/>
                <w:szCs w:val="24"/>
                <w:lang w:val="en-US" w:eastAsia="zh-CN"/>
              </w:rPr>
              <w:t>煤</w:t>
            </w:r>
            <w:r>
              <w:rPr>
                <w:color w:val="auto"/>
                <w:sz w:val="24"/>
                <w:szCs w:val="24"/>
              </w:rPr>
              <w:t>锅炉</w:t>
            </w:r>
            <w:r>
              <w:rPr>
                <w:rFonts w:hint="eastAsia"/>
                <w:color w:val="auto"/>
                <w:sz w:val="24"/>
                <w:szCs w:val="24"/>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地表水环境</w:t>
            </w:r>
          </w:p>
        </w:tc>
        <w:tc>
          <w:tcPr>
            <w:tcW w:w="1703" w:type="dxa"/>
            <w:gridSpan w:val="2"/>
            <w:noWrap w:val="0"/>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w:t>
            </w:r>
          </w:p>
        </w:tc>
        <w:tc>
          <w:tcPr>
            <w:tcW w:w="1133" w:type="dxa"/>
            <w:tcBorders>
              <w:bottom w:val="single" w:color="auto" w:sz="4" w:space="0"/>
            </w:tcBorders>
            <w:noWrap w:val="0"/>
            <w:vAlign w:val="center"/>
          </w:tcPr>
          <w:p>
            <w:pPr>
              <w:adjustRightInd w:val="0"/>
              <w:snapToGrid w:val="0"/>
              <w:jc w:val="center"/>
              <w:rPr>
                <w:color w:val="auto"/>
                <w:sz w:val="24"/>
                <w:szCs w:val="24"/>
              </w:rPr>
            </w:pPr>
            <w:r>
              <w:rPr>
                <w:color w:val="auto"/>
                <w:sz w:val="24"/>
                <w:szCs w:val="24"/>
              </w:rPr>
              <w:t>COD、</w:t>
            </w:r>
          </w:p>
          <w:p>
            <w:pPr>
              <w:adjustRightInd w:val="0"/>
              <w:snapToGrid w:val="0"/>
              <w:jc w:val="center"/>
              <w:rPr>
                <w:rFonts w:hint="default" w:eastAsia="宋体"/>
                <w:color w:val="auto"/>
                <w:sz w:val="24"/>
                <w:szCs w:val="24"/>
                <w:lang w:val="en-US" w:eastAsia="zh-CN"/>
              </w:rPr>
            </w:pPr>
            <w:r>
              <w:rPr>
                <w:color w:val="auto"/>
                <w:sz w:val="24"/>
                <w:szCs w:val="24"/>
              </w:rPr>
              <w:t>氨氮、</w:t>
            </w:r>
            <w:r>
              <w:rPr>
                <w:rFonts w:hint="eastAsia"/>
                <w:color w:val="auto"/>
                <w:sz w:val="24"/>
                <w:szCs w:val="24"/>
                <w:lang w:val="en-US" w:eastAsia="zh-CN"/>
              </w:rPr>
              <w:t>全盐量</w:t>
            </w:r>
          </w:p>
        </w:tc>
        <w:tc>
          <w:tcPr>
            <w:tcW w:w="1984" w:type="dxa"/>
            <w:shd w:val="clear" w:color="auto" w:fill="auto"/>
            <w:noWrap w:val="0"/>
            <w:vAlign w:val="center"/>
          </w:tcPr>
          <w:p>
            <w:pPr>
              <w:keepNext w:val="0"/>
              <w:keepLines w:val="0"/>
              <w:suppressLineNumbers w:val="0"/>
              <w:adjustRightInd w:val="0"/>
              <w:spacing w:before="0" w:beforeAutospacing="0" w:after="0" w:afterAutospacing="0"/>
              <w:ind w:right="0" w:rightChars="0"/>
              <w:jc w:val="center"/>
              <w:textAlignment w:val="baseline"/>
              <w:rPr>
                <w:rFonts w:hint="default" w:ascii="Times New Roman" w:hAnsi="Times New Roman" w:eastAsia="宋体" w:cs="Times New Roman"/>
                <w:b/>
                <w:bCs/>
                <w:color w:val="auto"/>
                <w:kern w:val="2"/>
                <w:sz w:val="24"/>
                <w:szCs w:val="32"/>
                <w:highlight w:val="none"/>
                <w:vertAlign w:val="baseline"/>
                <w:lang w:val="en-US" w:eastAsia="zh-CN" w:bidi="ar-SA"/>
              </w:rPr>
            </w:pPr>
            <w:r>
              <w:rPr>
                <w:rFonts w:hint="eastAsia"/>
                <w:color w:val="auto"/>
                <w:sz w:val="24"/>
                <w:lang w:val="en-US" w:eastAsia="zh-CN"/>
              </w:rPr>
              <w:t>锅炉废水和软化水处理废水排入沉淀池内，定期加入絮凝剂（PAC）一部分用于灰渣降尘，一部分用于厂区降尘；生活污水经化粪池处理后定期清掏，外运堆肥，不外排</w:t>
            </w:r>
            <w:r>
              <w:rPr>
                <w:color w:val="auto"/>
                <w:sz w:val="24"/>
              </w:rPr>
              <w:t>。</w:t>
            </w:r>
          </w:p>
        </w:tc>
        <w:tc>
          <w:tcPr>
            <w:tcW w:w="2444" w:type="dxa"/>
            <w:noWrap w:val="0"/>
            <w:vAlign w:val="center"/>
          </w:tcPr>
          <w:p>
            <w:pPr>
              <w:adjustRightInd w:val="0"/>
              <w:snapToGrid w:val="0"/>
              <w:jc w:val="center"/>
              <w:rPr>
                <w:color w:val="auto"/>
                <w:sz w:val="24"/>
                <w:szCs w:val="24"/>
              </w:rPr>
            </w:pPr>
            <w:r>
              <w:rPr>
                <w:rFonts w:hint="eastAsia" w:ascii="宋体" w:hAnsi="宋体"/>
                <w:color w:val="auto"/>
                <w:sz w:val="24"/>
                <w:szCs w:val="3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2"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声环境</w:t>
            </w:r>
          </w:p>
        </w:tc>
        <w:tc>
          <w:tcPr>
            <w:tcW w:w="1703" w:type="dxa"/>
            <w:gridSpan w:val="2"/>
            <w:noWrap w:val="0"/>
            <w:vAlign w:val="center"/>
          </w:tcPr>
          <w:p>
            <w:pPr>
              <w:adjustRightInd w:val="0"/>
              <w:snapToGrid w:val="0"/>
              <w:jc w:val="center"/>
              <w:rPr>
                <w:color w:val="auto"/>
                <w:sz w:val="24"/>
                <w:szCs w:val="24"/>
              </w:rPr>
            </w:pPr>
            <w:r>
              <w:rPr>
                <w:color w:val="auto"/>
                <w:sz w:val="24"/>
                <w:szCs w:val="24"/>
              </w:rPr>
              <w:t>生产设备</w:t>
            </w:r>
          </w:p>
        </w:tc>
        <w:tc>
          <w:tcPr>
            <w:tcW w:w="1133" w:type="dxa"/>
            <w:noWrap w:val="0"/>
            <w:vAlign w:val="center"/>
          </w:tcPr>
          <w:p>
            <w:pPr>
              <w:adjustRightInd w:val="0"/>
              <w:snapToGrid w:val="0"/>
              <w:jc w:val="center"/>
              <w:rPr>
                <w:color w:val="auto"/>
                <w:sz w:val="24"/>
                <w:szCs w:val="24"/>
              </w:rPr>
            </w:pPr>
            <w:r>
              <w:rPr>
                <w:color w:val="auto"/>
                <w:sz w:val="24"/>
                <w:szCs w:val="24"/>
              </w:rPr>
              <w:t>噪声</w:t>
            </w:r>
          </w:p>
        </w:tc>
        <w:tc>
          <w:tcPr>
            <w:tcW w:w="1984" w:type="dxa"/>
            <w:noWrap w:val="0"/>
            <w:vAlign w:val="center"/>
          </w:tcPr>
          <w:p>
            <w:pPr>
              <w:pStyle w:val="63"/>
              <w:spacing w:before="24" w:after="24"/>
              <w:rPr>
                <w:rFonts w:ascii="Times New Roman"/>
                <w:color w:val="auto"/>
                <w:sz w:val="24"/>
                <w:szCs w:val="22"/>
              </w:rPr>
            </w:pPr>
            <w:r>
              <w:rPr>
                <w:rFonts w:ascii="Times New Roman"/>
                <w:color w:val="auto"/>
                <w:sz w:val="24"/>
                <w:szCs w:val="22"/>
              </w:rPr>
              <w:t>低噪声设备</w:t>
            </w:r>
          </w:p>
          <w:p>
            <w:pPr>
              <w:pStyle w:val="63"/>
              <w:spacing w:before="24" w:after="24"/>
              <w:rPr>
                <w:rFonts w:ascii="Times New Roman"/>
                <w:color w:val="auto"/>
                <w:sz w:val="24"/>
                <w:szCs w:val="22"/>
              </w:rPr>
            </w:pPr>
            <w:r>
              <w:rPr>
                <w:rFonts w:ascii="Times New Roman"/>
                <w:color w:val="auto"/>
                <w:sz w:val="24"/>
                <w:szCs w:val="22"/>
              </w:rPr>
              <w:t>消声减震</w:t>
            </w:r>
          </w:p>
          <w:p>
            <w:pPr>
              <w:adjustRightInd w:val="0"/>
              <w:snapToGrid w:val="0"/>
              <w:jc w:val="center"/>
              <w:rPr>
                <w:rFonts w:hint="eastAsia" w:eastAsia="宋体"/>
                <w:color w:val="auto"/>
                <w:sz w:val="24"/>
                <w:szCs w:val="24"/>
                <w:lang w:eastAsia="zh-CN"/>
              </w:rPr>
            </w:pPr>
            <w:r>
              <w:rPr>
                <w:color w:val="auto"/>
                <w:sz w:val="24"/>
                <w:szCs w:val="32"/>
              </w:rPr>
              <w:t>厂房隔声</w:t>
            </w:r>
          </w:p>
        </w:tc>
        <w:tc>
          <w:tcPr>
            <w:tcW w:w="2444" w:type="dxa"/>
            <w:noWrap w:val="0"/>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厂界噪声执行</w:t>
            </w:r>
            <w:r>
              <w:rPr>
                <w:color w:val="auto"/>
                <w:sz w:val="24"/>
                <w:szCs w:val="24"/>
              </w:rPr>
              <w:t>《工业企业厂界环境噪声排放标准》</w:t>
            </w:r>
            <w:r>
              <w:rPr>
                <w:rFonts w:hint="eastAsia"/>
                <w:color w:val="auto"/>
                <w:sz w:val="24"/>
                <w:szCs w:val="24"/>
                <w:lang w:eastAsia="zh-CN"/>
              </w:rPr>
              <w:t>（</w:t>
            </w:r>
            <w:r>
              <w:rPr>
                <w:color w:val="auto"/>
                <w:sz w:val="24"/>
                <w:szCs w:val="24"/>
              </w:rPr>
              <w:t>GB12348-2008</w:t>
            </w:r>
            <w:r>
              <w:rPr>
                <w:rFonts w:hint="eastAsia"/>
                <w:color w:val="auto"/>
                <w:sz w:val="24"/>
                <w:szCs w:val="24"/>
                <w:lang w:eastAsia="zh-CN"/>
              </w:rPr>
              <w:t>）</w:t>
            </w:r>
            <w:r>
              <w:rPr>
                <w:color w:val="auto"/>
                <w:sz w:val="24"/>
                <w:szCs w:val="24"/>
              </w:rPr>
              <w:t xml:space="preserve"> </w:t>
            </w:r>
            <w:r>
              <w:rPr>
                <w:rFonts w:hint="eastAsia"/>
                <w:color w:val="auto"/>
                <w:sz w:val="24"/>
                <w:szCs w:val="24"/>
                <w:lang w:val="en-US" w:eastAsia="zh-CN"/>
              </w:rPr>
              <w:t>2</w:t>
            </w:r>
            <w:r>
              <w:rPr>
                <w:color w:val="auto"/>
                <w:sz w:val="24"/>
                <w:szCs w:val="24"/>
              </w:rPr>
              <w:t>类区</w:t>
            </w:r>
            <w:r>
              <w:rPr>
                <w:rFonts w:hint="eastAsia"/>
                <w:color w:val="auto"/>
                <w:sz w:val="24"/>
                <w:szCs w:val="24"/>
                <w:lang w:eastAsia="zh-CN"/>
              </w:rPr>
              <w:t>，</w:t>
            </w:r>
            <w:r>
              <w:rPr>
                <w:rFonts w:hint="eastAsia"/>
                <w:color w:val="auto"/>
                <w:sz w:val="24"/>
                <w:szCs w:val="24"/>
                <w:lang w:val="en-US" w:eastAsia="zh-CN"/>
              </w:rPr>
              <w:t>声环境敏感目标执行《声环境质量标准》（GB3096-2008）中2类标准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jc w:val="center"/>
        </w:trPr>
        <w:tc>
          <w:tcPr>
            <w:tcW w:w="1538" w:type="dxa"/>
            <w:noWrap w:val="0"/>
            <w:vAlign w:val="center"/>
          </w:tcPr>
          <w:p>
            <w:pPr>
              <w:adjustRightInd w:val="0"/>
              <w:snapToGrid w:val="0"/>
              <w:jc w:val="center"/>
              <w:rPr>
                <w:color w:val="auto"/>
                <w:sz w:val="24"/>
                <w:szCs w:val="24"/>
              </w:rPr>
            </w:pPr>
            <w:r>
              <w:rPr>
                <w:color w:val="auto"/>
                <w:sz w:val="24"/>
                <w:szCs w:val="24"/>
              </w:rPr>
              <w:t>电磁辐射</w:t>
            </w:r>
          </w:p>
        </w:tc>
        <w:tc>
          <w:tcPr>
            <w:tcW w:w="1703" w:type="dxa"/>
            <w:gridSpan w:val="2"/>
            <w:noWrap w:val="0"/>
            <w:vAlign w:val="center"/>
          </w:tcPr>
          <w:p>
            <w:pPr>
              <w:adjustRightInd w:val="0"/>
              <w:snapToGrid w:val="0"/>
              <w:jc w:val="center"/>
              <w:rPr>
                <w:color w:val="auto"/>
                <w:sz w:val="24"/>
                <w:szCs w:val="24"/>
              </w:rPr>
            </w:pPr>
            <w:r>
              <w:rPr>
                <w:color w:val="auto"/>
                <w:sz w:val="24"/>
                <w:szCs w:val="24"/>
              </w:rPr>
              <w:t>/</w:t>
            </w:r>
          </w:p>
        </w:tc>
        <w:tc>
          <w:tcPr>
            <w:tcW w:w="1133" w:type="dxa"/>
            <w:noWrap w:val="0"/>
            <w:vAlign w:val="center"/>
          </w:tcPr>
          <w:p>
            <w:pPr>
              <w:adjustRightInd w:val="0"/>
              <w:snapToGrid w:val="0"/>
              <w:jc w:val="center"/>
              <w:rPr>
                <w:color w:val="auto"/>
                <w:sz w:val="24"/>
                <w:szCs w:val="24"/>
              </w:rPr>
            </w:pPr>
            <w:r>
              <w:rPr>
                <w:color w:val="auto"/>
                <w:sz w:val="24"/>
                <w:szCs w:val="24"/>
              </w:rPr>
              <w:t>/</w:t>
            </w:r>
          </w:p>
        </w:tc>
        <w:tc>
          <w:tcPr>
            <w:tcW w:w="1984" w:type="dxa"/>
            <w:noWrap w:val="0"/>
            <w:vAlign w:val="center"/>
          </w:tcPr>
          <w:p>
            <w:pPr>
              <w:adjustRightInd w:val="0"/>
              <w:snapToGrid w:val="0"/>
              <w:jc w:val="center"/>
              <w:rPr>
                <w:color w:val="auto"/>
                <w:sz w:val="24"/>
                <w:szCs w:val="24"/>
              </w:rPr>
            </w:pPr>
            <w:r>
              <w:rPr>
                <w:color w:val="auto"/>
                <w:sz w:val="24"/>
                <w:szCs w:val="24"/>
              </w:rPr>
              <w:t>/</w:t>
            </w:r>
          </w:p>
        </w:tc>
        <w:tc>
          <w:tcPr>
            <w:tcW w:w="2444" w:type="dxa"/>
            <w:noWrap w:val="0"/>
            <w:vAlign w:val="center"/>
          </w:tcPr>
          <w:p>
            <w:pPr>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39"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固体废物</w:t>
            </w:r>
          </w:p>
        </w:tc>
        <w:tc>
          <w:tcPr>
            <w:tcW w:w="7264" w:type="dxa"/>
            <w:gridSpan w:val="5"/>
            <w:noWrap w:val="0"/>
            <w:vAlign w:val="center"/>
          </w:tcPr>
          <w:p>
            <w:pPr>
              <w:autoSpaceDE w:val="0"/>
              <w:autoSpaceDN w:val="0"/>
              <w:adjustRightInd w:val="0"/>
              <w:jc w:val="left"/>
              <w:rPr>
                <w:rFonts w:hint="default"/>
                <w:color w:val="auto"/>
                <w:sz w:val="24"/>
                <w:szCs w:val="24"/>
                <w:lang w:val="en-US"/>
              </w:rPr>
            </w:pPr>
            <w:r>
              <w:rPr>
                <w:rFonts w:hint="eastAsia"/>
                <w:color w:val="auto"/>
                <w:kern w:val="0"/>
                <w:sz w:val="24"/>
                <w:szCs w:val="24"/>
              </w:rPr>
              <w:t>生活垃圾由环卫部门统一清运。</w:t>
            </w:r>
            <w:r>
              <w:rPr>
                <w:rFonts w:hint="eastAsia"/>
                <w:color w:val="auto"/>
                <w:kern w:val="0"/>
                <w:sz w:val="24"/>
                <w:szCs w:val="24"/>
                <w:lang w:val="en-US" w:eastAsia="zh-CN"/>
              </w:rPr>
              <w:t>废布袋和废离子交换树脂由厂家回收处置，生物质灰渣和除尘灰外售综合利用。沉淀池污泥定期送往垃圾填埋场填埋处置。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44"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土壤及地下水</w:t>
            </w:r>
          </w:p>
          <w:p>
            <w:pPr>
              <w:adjustRightInd w:val="0"/>
              <w:snapToGrid w:val="0"/>
              <w:jc w:val="center"/>
              <w:rPr>
                <w:color w:val="auto"/>
                <w:sz w:val="24"/>
                <w:szCs w:val="24"/>
              </w:rPr>
            </w:pPr>
            <w:r>
              <w:rPr>
                <w:color w:val="auto"/>
                <w:sz w:val="24"/>
                <w:szCs w:val="24"/>
              </w:rPr>
              <w:t>污染防治措施</w:t>
            </w:r>
          </w:p>
        </w:tc>
        <w:tc>
          <w:tcPr>
            <w:tcW w:w="7264" w:type="dxa"/>
            <w:gridSpan w:val="5"/>
            <w:noWrap w:val="0"/>
            <w:vAlign w:val="center"/>
          </w:tcPr>
          <w:p>
            <w:pPr>
              <w:adjustRightInd w:val="0"/>
              <w:snapToGrid w:val="0"/>
              <w:spacing w:line="360" w:lineRule="auto"/>
              <w:ind w:firstLine="480" w:firstLineChars="200"/>
              <w:jc w:val="center"/>
              <w:rPr>
                <w:rFonts w:hint="eastAsia"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83" w:hRule="atLeast"/>
          <w:jc w:val="center"/>
        </w:trPr>
        <w:tc>
          <w:tcPr>
            <w:tcW w:w="1538" w:type="dxa"/>
            <w:noWrap w:val="0"/>
            <w:vAlign w:val="center"/>
          </w:tcPr>
          <w:p>
            <w:pPr>
              <w:adjustRightInd w:val="0"/>
              <w:snapToGrid w:val="0"/>
              <w:jc w:val="center"/>
              <w:rPr>
                <w:color w:val="auto"/>
                <w:sz w:val="24"/>
                <w:szCs w:val="24"/>
              </w:rPr>
            </w:pPr>
            <w:r>
              <w:rPr>
                <w:color w:val="auto"/>
                <w:sz w:val="24"/>
                <w:szCs w:val="24"/>
              </w:rPr>
              <w:t>生态保护措施</w:t>
            </w:r>
          </w:p>
        </w:tc>
        <w:tc>
          <w:tcPr>
            <w:tcW w:w="7264" w:type="dxa"/>
            <w:gridSpan w:val="5"/>
            <w:noWrap w:val="0"/>
            <w:vAlign w:val="center"/>
          </w:tcPr>
          <w:p>
            <w:pPr>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0" w:hRule="atLeast"/>
          <w:jc w:val="center"/>
        </w:trPr>
        <w:tc>
          <w:tcPr>
            <w:tcW w:w="1538" w:type="dxa"/>
            <w:noWrap w:val="0"/>
            <w:vAlign w:val="center"/>
          </w:tcPr>
          <w:p>
            <w:pPr>
              <w:adjustRightInd w:val="0"/>
              <w:snapToGrid w:val="0"/>
              <w:jc w:val="center"/>
              <w:rPr>
                <w:color w:val="auto"/>
                <w:spacing w:val="-8"/>
                <w:sz w:val="24"/>
                <w:szCs w:val="24"/>
              </w:rPr>
            </w:pPr>
            <w:r>
              <w:rPr>
                <w:color w:val="auto"/>
                <w:spacing w:val="-8"/>
                <w:sz w:val="24"/>
                <w:szCs w:val="24"/>
              </w:rPr>
              <w:t>环境风险</w:t>
            </w:r>
          </w:p>
          <w:p>
            <w:pPr>
              <w:adjustRightInd w:val="0"/>
              <w:snapToGrid w:val="0"/>
              <w:jc w:val="center"/>
              <w:rPr>
                <w:color w:val="auto"/>
                <w:spacing w:val="-8"/>
                <w:sz w:val="24"/>
                <w:szCs w:val="24"/>
              </w:rPr>
            </w:pPr>
            <w:r>
              <w:rPr>
                <w:color w:val="auto"/>
                <w:spacing w:val="-8"/>
                <w:sz w:val="24"/>
                <w:szCs w:val="24"/>
              </w:rPr>
              <w:t>防范措施</w:t>
            </w:r>
          </w:p>
        </w:tc>
        <w:tc>
          <w:tcPr>
            <w:tcW w:w="7264" w:type="dxa"/>
            <w:gridSpan w:val="5"/>
            <w:noWrap w:val="0"/>
            <w:vAlign w:val="center"/>
          </w:tcPr>
          <w:p>
            <w:pPr>
              <w:adjustRightInd w:val="0"/>
              <w:snapToGrid w:val="0"/>
              <w:spacing w:line="360" w:lineRule="auto"/>
              <w:jc w:val="center"/>
              <w:rPr>
                <w:rFonts w:hint="eastAsia"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1538" w:type="dxa"/>
            <w:noWrap w:val="0"/>
            <w:vAlign w:val="center"/>
          </w:tcPr>
          <w:p>
            <w:pPr>
              <w:adjustRightInd w:val="0"/>
              <w:snapToGrid w:val="0"/>
              <w:jc w:val="center"/>
              <w:rPr>
                <w:color w:val="auto"/>
                <w:spacing w:val="-8"/>
                <w:sz w:val="24"/>
                <w:szCs w:val="24"/>
              </w:rPr>
            </w:pPr>
            <w:r>
              <w:rPr>
                <w:color w:val="auto"/>
                <w:spacing w:val="-8"/>
                <w:sz w:val="24"/>
                <w:szCs w:val="24"/>
              </w:rPr>
              <w:t>其他环境</w:t>
            </w:r>
          </w:p>
          <w:p>
            <w:pPr>
              <w:adjustRightInd w:val="0"/>
              <w:snapToGrid w:val="0"/>
              <w:jc w:val="center"/>
              <w:rPr>
                <w:color w:val="auto"/>
                <w:spacing w:val="-8"/>
                <w:sz w:val="24"/>
                <w:szCs w:val="24"/>
              </w:rPr>
            </w:pPr>
            <w:r>
              <w:rPr>
                <w:color w:val="auto"/>
                <w:spacing w:val="-8"/>
                <w:sz w:val="24"/>
                <w:szCs w:val="24"/>
              </w:rPr>
              <w:t>管理要求</w:t>
            </w:r>
          </w:p>
        </w:tc>
        <w:tc>
          <w:tcPr>
            <w:tcW w:w="7264" w:type="dxa"/>
            <w:gridSpan w:val="5"/>
            <w:noWrap w:val="0"/>
            <w:vAlign w:val="center"/>
          </w:tcPr>
          <w:p>
            <w:pPr>
              <w:adjustRightInd w:val="0"/>
              <w:snapToGrid w:val="0"/>
              <w:ind w:firstLine="480" w:firstLineChars="200"/>
              <w:rPr>
                <w:color w:val="auto"/>
                <w:sz w:val="24"/>
                <w:szCs w:val="32"/>
              </w:rPr>
            </w:pPr>
            <w:r>
              <w:rPr>
                <w:rFonts w:hint="default" w:ascii="Times New Roman" w:hAnsi="Times New Roman" w:cs="Times New Roman"/>
                <w:color w:val="auto"/>
                <w:sz w:val="24"/>
                <w:szCs w:val="32"/>
                <w:highlight w:val="none"/>
              </w:rPr>
              <w:t>根据《固定污染源排污许可分类管理名录》（2019年版），本项目</w:t>
            </w:r>
            <w:r>
              <w:rPr>
                <w:rFonts w:hint="eastAsia" w:cs="Times New Roman"/>
                <w:color w:val="auto"/>
                <w:sz w:val="24"/>
                <w:szCs w:val="32"/>
                <w:highlight w:val="none"/>
                <w:lang w:val="en-US" w:eastAsia="zh-CN"/>
              </w:rPr>
              <w:t>为企业自用供暖项目，</w:t>
            </w:r>
            <w:r>
              <w:rPr>
                <w:rFonts w:hint="default" w:ascii="Times New Roman" w:hAnsi="Times New Roman" w:cs="Times New Roman"/>
                <w:color w:val="auto"/>
                <w:sz w:val="24"/>
                <w:szCs w:val="32"/>
                <w:highlight w:val="none"/>
              </w:rPr>
              <w:t>属于“</w:t>
            </w:r>
            <w:r>
              <w:rPr>
                <w:rFonts w:hint="default" w:ascii="Times New Roman" w:hAnsi="Times New Roman" w:cs="Times New Roman"/>
                <w:color w:val="auto"/>
                <w:sz w:val="24"/>
                <w:szCs w:val="32"/>
                <w:highlight w:val="none"/>
                <w:lang w:val="en-US" w:eastAsia="zh-CN"/>
              </w:rPr>
              <w:t>五十一、通用工序，109.锅炉：除纳入重点排污单位名录的，单台且合计出力20吨/小时（14兆瓦）以下的锅炉（不含电热锅炉）</w:t>
            </w:r>
            <w:r>
              <w:rPr>
                <w:rFonts w:hint="default" w:ascii="Times New Roman" w:hAnsi="Times New Roman" w:cs="Times New Roman"/>
                <w:color w:val="auto"/>
                <w:sz w:val="24"/>
                <w:szCs w:val="32"/>
                <w:highlight w:val="none"/>
              </w:rPr>
              <w:t>”，需要进行排污许可证</w:t>
            </w:r>
            <w:r>
              <w:rPr>
                <w:rFonts w:hint="default" w:ascii="Times New Roman" w:hAnsi="Times New Roman" w:cs="Times New Roman"/>
                <w:color w:val="auto"/>
                <w:sz w:val="24"/>
                <w:szCs w:val="32"/>
                <w:highlight w:val="none"/>
                <w:lang w:val="en-US" w:eastAsia="zh-CN"/>
              </w:rPr>
              <w:t>登记</w:t>
            </w:r>
            <w:r>
              <w:rPr>
                <w:rFonts w:hint="default" w:ascii="Times New Roman" w:hAnsi="Times New Roman" w:cs="Times New Roman"/>
                <w:color w:val="auto"/>
                <w:sz w:val="24"/>
                <w:szCs w:val="32"/>
                <w:highlight w:val="none"/>
              </w:rPr>
              <w:t>管理。</w:t>
            </w:r>
          </w:p>
        </w:tc>
      </w:tr>
    </w:tbl>
    <w:p>
      <w:pPr>
        <w:pStyle w:val="27"/>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44" w:name="_Toc9568"/>
      <w:r>
        <w:rPr>
          <w:rFonts w:ascii="Times New Roman" w:hAnsi="Times New Roman" w:eastAsia="黑体"/>
          <w:snapToGrid w:val="0"/>
          <w:color w:val="auto"/>
          <w:sz w:val="30"/>
          <w:szCs w:val="30"/>
        </w:rPr>
        <w:t>六、结论</w:t>
      </w:r>
      <w:bookmarkEnd w:id="44"/>
    </w:p>
    <w:tbl>
      <w:tblPr>
        <w:tblStyle w:val="30"/>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rPr>
                <w:color w:val="auto"/>
                <w:sz w:val="24"/>
              </w:rPr>
            </w:pPr>
          </w:p>
          <w:p>
            <w:pPr>
              <w:spacing w:line="360" w:lineRule="auto"/>
              <w:ind w:firstLine="480"/>
              <w:rPr>
                <w:color w:val="auto"/>
                <w:sz w:val="24"/>
              </w:rPr>
            </w:pPr>
            <w:bookmarkStart w:id="45" w:name="_Hlk77175778"/>
            <w:r>
              <w:rPr>
                <w:color w:val="auto"/>
                <w:sz w:val="24"/>
              </w:rPr>
              <w:t>本项目符合产业政策要求；项目选址符合用地规划要求；产生过程中产生的废气、废水和噪声均能达标排放，固体废物有效的处理/处置，环境影响可接受；只要项目在实施过程中，切实落实本报告提出的施工期及运营期各项污染防治措施，确保环境保护措施与主体工程同时设计、同时施工、同时投运。从环境保护角度分析，本项目是可行的。</w:t>
            </w:r>
          </w:p>
          <w:bookmarkEnd w:id="45"/>
          <w:p>
            <w:pPr>
              <w:spacing w:line="360" w:lineRule="auto"/>
              <w:rPr>
                <w:color w:val="auto"/>
                <w:sz w:val="24"/>
              </w:rPr>
            </w:pPr>
          </w:p>
        </w:tc>
      </w:tr>
    </w:tbl>
    <w:p>
      <w:pPr>
        <w:rPr>
          <w:color w:val="auto"/>
        </w:rPr>
        <w:sectPr>
          <w:pgSz w:w="11906" w:h="16838"/>
          <w:pgMar w:top="1701" w:right="1531" w:bottom="1701" w:left="1531" w:header="851" w:footer="851" w:gutter="0"/>
          <w:cols w:space="720" w:num="1"/>
          <w:docGrid w:linePitch="312" w:charSpace="0"/>
        </w:sectPr>
      </w:pPr>
    </w:p>
    <w:p>
      <w:pPr>
        <w:pStyle w:val="27"/>
        <w:adjustRightInd w:val="0"/>
        <w:snapToGrid w:val="0"/>
        <w:spacing w:before="0" w:beforeAutospacing="0" w:after="0" w:afterAutospacing="0"/>
        <w:outlineLvl w:val="0"/>
        <w:rPr>
          <w:rFonts w:ascii="Times New Roman" w:hAnsi="Times New Roman" w:eastAsia="黑体"/>
          <w:snapToGrid w:val="0"/>
          <w:color w:val="auto"/>
          <w:sz w:val="32"/>
          <w:szCs w:val="32"/>
        </w:rPr>
      </w:pPr>
      <w:bookmarkStart w:id="46" w:name="_Toc18376"/>
      <w:r>
        <w:rPr>
          <w:rFonts w:ascii="Times New Roman" w:hAnsi="Times New Roman" w:eastAsia="黑体"/>
          <w:snapToGrid w:val="0"/>
          <w:color w:val="auto"/>
          <w:sz w:val="32"/>
          <w:szCs w:val="32"/>
        </w:rPr>
        <w:t>附表</w:t>
      </w:r>
      <w:bookmarkEnd w:id="46"/>
    </w:p>
    <w:p>
      <w:pPr>
        <w:pStyle w:val="27"/>
        <w:adjustRightInd w:val="0"/>
        <w:snapToGrid w:val="0"/>
        <w:spacing w:before="0" w:beforeAutospacing="0" w:after="0" w:afterAutospacing="0"/>
        <w:jc w:val="center"/>
        <w:outlineLvl w:val="0"/>
        <w:rPr>
          <w:rFonts w:ascii="Times New Roman" w:hAnsi="Times New Roman" w:eastAsia="微软雅黑"/>
          <w:snapToGrid w:val="0"/>
          <w:color w:val="auto"/>
          <w:sz w:val="38"/>
          <w:szCs w:val="38"/>
        </w:rPr>
      </w:pPr>
      <w:bookmarkStart w:id="47" w:name="_Toc29081"/>
      <w:bookmarkStart w:id="48" w:name="_Toc20267"/>
      <w:r>
        <w:rPr>
          <w:rFonts w:ascii="Times New Roman" w:hAnsi="Times New Roman" w:eastAsia="微软雅黑"/>
          <w:snapToGrid w:val="0"/>
          <w:color w:val="auto"/>
          <w:sz w:val="38"/>
          <w:szCs w:val="38"/>
        </w:rPr>
        <w:t>建设项目污染物排放量汇总表</w:t>
      </w:r>
      <w:bookmarkEnd w:id="47"/>
      <w:bookmarkEnd w:id="48"/>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127"/>
        <w:gridCol w:w="1559"/>
        <w:gridCol w:w="1134"/>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blHeader/>
        </w:trPr>
        <w:tc>
          <w:tcPr>
            <w:tcW w:w="1162" w:type="dxa"/>
            <w:tcBorders>
              <w:tl2br w:val="single" w:color="auto" w:sz="4" w:space="0"/>
            </w:tcBorders>
            <w:noWrap w:val="0"/>
            <w:tcMar>
              <w:left w:w="28" w:type="dxa"/>
              <w:right w:w="28" w:type="dxa"/>
            </w:tcMar>
            <w:vAlign w:val="center"/>
          </w:tcPr>
          <w:p>
            <w:pPr>
              <w:pStyle w:val="63"/>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pPr>
              <w:pStyle w:val="63"/>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2127"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559"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①</w:t>
            </w:r>
            <w:r>
              <w:rPr>
                <w:rFonts w:ascii="Times New Roman" w:eastAsia="黑体"/>
                <w:snapToGrid w:val="0"/>
                <w:color w:val="auto"/>
                <w:spacing w:val="-6"/>
                <w:kern w:val="21"/>
                <w:szCs w:val="21"/>
              </w:rPr>
              <w:fldChar w:fldCharType="end"/>
            </w:r>
          </w:p>
        </w:tc>
        <w:tc>
          <w:tcPr>
            <w:tcW w:w="1134"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hint="eastAsia" w:hAnsi="宋体" w:cs="宋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③</w:t>
            </w:r>
            <w:r>
              <w:rPr>
                <w:rFonts w:ascii="Times New Roman" w:eastAsia="黑体"/>
                <w:snapToGrid w:val="0"/>
                <w:color w:val="auto"/>
                <w:spacing w:val="-6"/>
                <w:kern w:val="21"/>
                <w:szCs w:val="21"/>
              </w:rPr>
              <w:fldChar w:fldCharType="end"/>
            </w:r>
          </w:p>
        </w:tc>
        <w:tc>
          <w:tcPr>
            <w:tcW w:w="1559"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④</w:t>
            </w:r>
            <w:r>
              <w:rPr>
                <w:rFonts w:ascii="Times New Roman" w:eastAsia="黑体"/>
                <w:snapToGrid w:val="0"/>
                <w:color w:val="auto"/>
                <w:spacing w:val="-6"/>
                <w:kern w:val="21"/>
                <w:szCs w:val="21"/>
              </w:rPr>
              <w:fldChar w:fldCharType="end"/>
            </w:r>
          </w:p>
        </w:tc>
        <w:tc>
          <w:tcPr>
            <w:tcW w:w="1761"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⑤</w:t>
            </w:r>
            <w:r>
              <w:rPr>
                <w:rFonts w:ascii="Times New Roman" w:eastAsia="黑体"/>
                <w:snapToGrid w:val="0"/>
                <w:color w:val="auto"/>
                <w:spacing w:val="-16"/>
                <w:kern w:val="21"/>
                <w:szCs w:val="21"/>
              </w:rPr>
              <w:fldChar w:fldCharType="end"/>
            </w:r>
          </w:p>
        </w:tc>
        <w:tc>
          <w:tcPr>
            <w:tcW w:w="1959"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⑥</w:t>
            </w:r>
            <w:r>
              <w:rPr>
                <w:rFonts w:ascii="Times New Roman" w:eastAsia="黑体"/>
                <w:snapToGrid w:val="0"/>
                <w:color w:val="auto"/>
                <w:spacing w:val="-16"/>
                <w:kern w:val="21"/>
                <w:szCs w:val="21"/>
              </w:rPr>
              <w:fldChar w:fldCharType="end"/>
            </w:r>
          </w:p>
        </w:tc>
        <w:tc>
          <w:tcPr>
            <w:tcW w:w="826"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⑦</w:t>
            </w:r>
            <w:r>
              <w:rPr>
                <w:rFonts w:asci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2127" w:type="dxa"/>
            <w:noWrap w:val="0"/>
            <w:vAlign w:val="center"/>
          </w:tcPr>
          <w:p>
            <w:pPr>
              <w:pStyle w:val="63"/>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颗粒物</w:t>
            </w:r>
          </w:p>
        </w:tc>
        <w:tc>
          <w:tcPr>
            <w:tcW w:w="1559"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ascii="Times New Roman" w:hAnsi="Times New Roman" w:eastAsia="宋体" w:cs="Times New Roman"/>
                <w:bCs/>
                <w:color w:val="auto"/>
                <w:szCs w:val="21"/>
                <w:highlight w:val="none"/>
                <w:lang w:val="en-US" w:eastAsia="zh-CN"/>
              </w:rPr>
              <w:t>0.</w:t>
            </w:r>
            <w:r>
              <w:rPr>
                <w:rFonts w:hint="eastAsia" w:cs="Times New Roman"/>
                <w:bCs/>
                <w:color w:val="auto"/>
                <w:szCs w:val="21"/>
                <w:highlight w:val="none"/>
                <w:lang w:val="en-US" w:eastAsia="zh-CN"/>
              </w:rPr>
              <w:t>235t/a</w:t>
            </w:r>
          </w:p>
        </w:tc>
        <w:tc>
          <w:tcPr>
            <w:tcW w:w="1134"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eastAsia="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0.777 </w:t>
            </w:r>
            <w:r>
              <w:rPr>
                <w:rFonts w:hint="eastAsia" w:ascii="Times New Roman" w:hAnsi="Times New Roman" w:eastAsia="宋体" w:cs="Times New Roman"/>
                <w:i w:val="0"/>
                <w:iCs w:val="0"/>
                <w:color w:val="auto"/>
                <w:kern w:val="0"/>
                <w:sz w:val="21"/>
                <w:szCs w:val="21"/>
                <w:u w:val="none"/>
                <w:lang w:val="en-US" w:eastAsia="zh-CN" w:bidi="ar"/>
              </w:rPr>
              <w:t>t/a</w:t>
            </w:r>
          </w:p>
        </w:tc>
        <w:tc>
          <w:tcPr>
            <w:tcW w:w="1761"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ascii="Times New Roman" w:hAnsi="Times New Roman" w:eastAsia="宋体" w:cs="Times New Roman"/>
                <w:bCs/>
                <w:color w:val="auto"/>
                <w:szCs w:val="21"/>
                <w:highlight w:val="none"/>
                <w:lang w:val="en-US" w:eastAsia="zh-CN"/>
              </w:rPr>
              <w:t>0.</w:t>
            </w:r>
            <w:r>
              <w:rPr>
                <w:rFonts w:hint="eastAsia" w:cs="Times New Roman"/>
                <w:bCs/>
                <w:color w:val="auto"/>
                <w:szCs w:val="21"/>
                <w:highlight w:val="none"/>
                <w:lang w:val="en-US" w:eastAsia="zh-CN"/>
              </w:rPr>
              <w:t>235t/a</w:t>
            </w:r>
          </w:p>
        </w:tc>
        <w:tc>
          <w:tcPr>
            <w:tcW w:w="1959" w:type="dxa"/>
            <w:noWrap w:val="0"/>
            <w:vAlign w:val="center"/>
          </w:tcPr>
          <w:p>
            <w:pPr>
              <w:keepNext w:val="0"/>
              <w:keepLines w:val="0"/>
              <w:widowControl/>
              <w:suppressLineNumbers w:val="0"/>
              <w:jc w:val="center"/>
              <w:textAlignment w:val="center"/>
              <w:rPr>
                <w:rFonts w:ascii="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0.777 </w:t>
            </w:r>
            <w:r>
              <w:rPr>
                <w:rFonts w:hint="eastAsia" w:ascii="Times New Roman" w:hAnsi="Times New Roman" w:eastAsia="宋体" w:cs="Times New Roman"/>
                <w:i w:val="0"/>
                <w:iCs w:val="0"/>
                <w:color w:val="auto"/>
                <w:kern w:val="0"/>
                <w:sz w:val="21"/>
                <w:szCs w:val="21"/>
                <w:u w:val="none"/>
                <w:lang w:val="en-US" w:eastAsia="zh-CN" w:bidi="ar"/>
              </w:rPr>
              <w:t>t/a</w:t>
            </w:r>
          </w:p>
        </w:tc>
        <w:tc>
          <w:tcPr>
            <w:tcW w:w="826" w:type="dxa"/>
            <w:noWrap w:val="0"/>
            <w:vAlign w:val="center"/>
          </w:tcPr>
          <w:p>
            <w:pPr>
              <w:pStyle w:val="132"/>
              <w:adjustRightInd w:val="0"/>
              <w:snapToGrid w:val="0"/>
              <w:spacing w:line="240" w:lineRule="auto"/>
              <w:rPr>
                <w:rFonts w:hint="default" w:ascii="Times New Roman"/>
                <w:snapToGrid w:val="0"/>
                <w:color w:val="auto"/>
                <w:kern w:val="21"/>
                <w:szCs w:val="21"/>
                <w:lang w:val="en-US"/>
              </w:rPr>
            </w:pPr>
            <w:r>
              <w:rPr>
                <w:rFonts w:hint="eastAsia" w:ascii="Times New Roman" w:hAnsi="Times New Roman" w:cs="Times New Roman"/>
                <w:b w:val="0"/>
                <w:bCs/>
                <w:snapToGrid w:val="0"/>
                <w:color w:val="auto"/>
                <w:kern w:val="0"/>
                <w:sz w:val="21"/>
                <w:szCs w:val="21"/>
                <w:highlight w:val="none"/>
                <w:lang w:val="en-US" w:eastAsia="zh-CN" w:bidi="ar-SA"/>
              </w:rPr>
              <w:t>+0.542t/a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SO</w:t>
            </w:r>
            <w:r>
              <w:rPr>
                <w:rFonts w:ascii="Times New Roman"/>
                <w:snapToGrid w:val="0"/>
                <w:color w:val="auto"/>
                <w:kern w:val="21"/>
                <w:szCs w:val="21"/>
                <w:vertAlign w:val="subscript"/>
              </w:rPr>
              <w:t>2</w:t>
            </w:r>
          </w:p>
        </w:tc>
        <w:tc>
          <w:tcPr>
            <w:tcW w:w="1559"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cs="Times New Roman"/>
                <w:bCs/>
                <w:color w:val="auto"/>
                <w:szCs w:val="21"/>
                <w:highlight w:val="none"/>
                <w:lang w:val="en-US" w:eastAsia="zh-CN"/>
              </w:rPr>
              <w:t>1.414t/a</w:t>
            </w:r>
          </w:p>
        </w:tc>
        <w:tc>
          <w:tcPr>
            <w:tcW w:w="1134"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eastAsia="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1.644</w:t>
            </w:r>
            <w:r>
              <w:rPr>
                <w:rFonts w:hint="eastAsia" w:ascii="Times New Roman" w:hAnsi="Times New Roman" w:eastAsia="宋体" w:cs="Times New Roman"/>
                <w:i w:val="0"/>
                <w:iCs w:val="0"/>
                <w:color w:val="auto"/>
                <w:kern w:val="0"/>
                <w:sz w:val="21"/>
                <w:szCs w:val="21"/>
                <w:u w:val="none"/>
                <w:lang w:val="en-US" w:eastAsia="zh-CN" w:bidi="ar"/>
              </w:rPr>
              <w:t>t/a</w:t>
            </w:r>
          </w:p>
        </w:tc>
        <w:tc>
          <w:tcPr>
            <w:tcW w:w="1761" w:type="dxa"/>
            <w:noWrap w:val="0"/>
            <w:vAlign w:val="center"/>
          </w:tcPr>
          <w:p>
            <w:pPr>
              <w:widowControl/>
              <w:jc w:val="center"/>
              <w:rPr>
                <w:rFonts w:ascii="Times New Roman"/>
                <w:snapToGrid w:val="0"/>
                <w:color w:val="auto"/>
                <w:kern w:val="21"/>
                <w:szCs w:val="21"/>
              </w:rPr>
            </w:pPr>
            <w:r>
              <w:rPr>
                <w:rFonts w:hint="eastAsia" w:cs="Times New Roman"/>
                <w:bCs/>
                <w:color w:val="auto"/>
                <w:szCs w:val="21"/>
                <w:highlight w:val="none"/>
                <w:lang w:val="en-US" w:eastAsia="zh-CN"/>
              </w:rPr>
              <w:t>1.414t/a</w:t>
            </w:r>
          </w:p>
        </w:tc>
        <w:tc>
          <w:tcPr>
            <w:tcW w:w="1959" w:type="dxa"/>
            <w:noWrap w:val="0"/>
            <w:vAlign w:val="center"/>
          </w:tcPr>
          <w:p>
            <w:pPr>
              <w:keepNext w:val="0"/>
              <w:keepLines w:val="0"/>
              <w:widowControl/>
              <w:suppressLineNumbers w:val="0"/>
              <w:jc w:val="center"/>
              <w:textAlignment w:val="center"/>
              <w:rPr>
                <w:rFonts w:ascii="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1.644</w:t>
            </w:r>
            <w:r>
              <w:rPr>
                <w:rFonts w:hint="eastAsia" w:ascii="Times New Roman" w:hAnsi="Times New Roman" w:eastAsia="宋体" w:cs="Times New Roman"/>
                <w:i w:val="0"/>
                <w:iCs w:val="0"/>
                <w:color w:val="auto"/>
                <w:kern w:val="0"/>
                <w:sz w:val="21"/>
                <w:szCs w:val="21"/>
                <w:u w:val="none"/>
                <w:lang w:val="en-US" w:eastAsia="zh-CN" w:bidi="ar"/>
              </w:rPr>
              <w:t>t/a</w:t>
            </w:r>
          </w:p>
        </w:tc>
        <w:tc>
          <w:tcPr>
            <w:tcW w:w="826" w:type="dxa"/>
            <w:noWrap w:val="0"/>
            <w:vAlign w:val="center"/>
          </w:tcPr>
          <w:p>
            <w:pPr>
              <w:jc w:val="center"/>
              <w:rPr>
                <w:rFonts w:hint="default" w:ascii="Times New Roman"/>
                <w:snapToGrid w:val="0"/>
                <w:color w:val="auto"/>
                <w:kern w:val="21"/>
                <w:szCs w:val="21"/>
                <w:lang w:val="en-US"/>
              </w:rPr>
            </w:pPr>
            <w:r>
              <w:rPr>
                <w:rFonts w:hint="eastAsia" w:cs="Times New Roman"/>
                <w:b w:val="0"/>
                <w:bCs/>
                <w:snapToGrid w:val="0"/>
                <w:color w:val="auto"/>
                <w:kern w:val="0"/>
                <w:sz w:val="21"/>
                <w:szCs w:val="21"/>
                <w:highlight w:val="none"/>
                <w:lang w:val="en-US" w:eastAsia="zh-CN" w:bidi="ar-SA"/>
              </w:rPr>
              <w:t>0.23t/a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ascii="Times New Roman"/>
                <w:snapToGrid w:val="0"/>
                <w:color w:val="auto"/>
                <w:kern w:val="21"/>
                <w:szCs w:val="21"/>
              </w:rPr>
            </w:pPr>
            <w:r>
              <w:rPr>
                <w:rFonts w:ascii="Times New Roman"/>
                <w:color w:val="auto"/>
                <w:szCs w:val="21"/>
              </w:rPr>
              <w:t>NO</w:t>
            </w:r>
            <w:r>
              <w:rPr>
                <w:rFonts w:ascii="Times New Roman"/>
                <w:color w:val="auto"/>
                <w:szCs w:val="21"/>
                <w:vertAlign w:val="subscript"/>
              </w:rPr>
              <w:t>X</w:t>
            </w:r>
          </w:p>
        </w:tc>
        <w:tc>
          <w:tcPr>
            <w:tcW w:w="1559"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cs="Times New Roman"/>
                <w:bCs/>
                <w:color w:val="auto"/>
                <w:kern w:val="2"/>
                <w:sz w:val="21"/>
                <w:szCs w:val="21"/>
                <w:highlight w:val="none"/>
                <w:lang w:val="en-US" w:eastAsia="zh-CN" w:bidi="ar-SA"/>
              </w:rPr>
              <w:t>0.972t/a</w:t>
            </w:r>
          </w:p>
        </w:tc>
        <w:tc>
          <w:tcPr>
            <w:tcW w:w="1134"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eastAsia="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2.315 </w:t>
            </w:r>
            <w:r>
              <w:rPr>
                <w:rFonts w:hint="eastAsia" w:ascii="Times New Roman" w:hAnsi="Times New Roman" w:eastAsia="宋体" w:cs="Times New Roman"/>
                <w:i w:val="0"/>
                <w:iCs w:val="0"/>
                <w:color w:val="auto"/>
                <w:kern w:val="0"/>
                <w:sz w:val="21"/>
                <w:szCs w:val="21"/>
                <w:u w:val="none"/>
                <w:lang w:val="en-US" w:eastAsia="zh-CN" w:bidi="ar"/>
              </w:rPr>
              <w:t>t/a</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761" w:type="dxa"/>
            <w:noWrap w:val="0"/>
            <w:vAlign w:val="center"/>
          </w:tcPr>
          <w:p>
            <w:pPr>
              <w:widowControl/>
              <w:jc w:val="center"/>
              <w:rPr>
                <w:rFonts w:ascii="Times New Roman"/>
                <w:snapToGrid w:val="0"/>
                <w:color w:val="auto"/>
                <w:kern w:val="21"/>
                <w:szCs w:val="21"/>
              </w:rPr>
            </w:pPr>
            <w:r>
              <w:rPr>
                <w:rFonts w:hint="eastAsia" w:cs="Times New Roman"/>
                <w:bCs/>
                <w:color w:val="auto"/>
                <w:kern w:val="2"/>
                <w:sz w:val="21"/>
                <w:szCs w:val="21"/>
                <w:highlight w:val="none"/>
                <w:lang w:val="en-US" w:eastAsia="zh-CN" w:bidi="ar-SA"/>
              </w:rPr>
              <w:t>0.972t/a</w:t>
            </w:r>
          </w:p>
        </w:tc>
        <w:tc>
          <w:tcPr>
            <w:tcW w:w="1959" w:type="dxa"/>
            <w:noWrap w:val="0"/>
            <w:vAlign w:val="center"/>
          </w:tcPr>
          <w:p>
            <w:pPr>
              <w:keepNext w:val="0"/>
              <w:keepLines w:val="0"/>
              <w:widowControl/>
              <w:suppressLineNumbers w:val="0"/>
              <w:jc w:val="center"/>
              <w:textAlignment w:val="center"/>
              <w:rPr>
                <w:rFonts w:ascii="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2.315 </w:t>
            </w:r>
            <w:r>
              <w:rPr>
                <w:rFonts w:hint="eastAsia" w:ascii="Times New Roman" w:hAnsi="Times New Roman" w:eastAsia="宋体" w:cs="Times New Roman"/>
                <w:i w:val="0"/>
                <w:iCs w:val="0"/>
                <w:color w:val="auto"/>
                <w:kern w:val="0"/>
                <w:sz w:val="21"/>
                <w:szCs w:val="21"/>
                <w:u w:val="none"/>
                <w:lang w:val="en-US" w:eastAsia="zh-CN" w:bidi="ar"/>
              </w:rPr>
              <w:t>t/a</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26" w:type="dxa"/>
            <w:noWrap w:val="0"/>
            <w:vAlign w:val="center"/>
          </w:tcPr>
          <w:p>
            <w:pPr>
              <w:jc w:val="center"/>
              <w:rPr>
                <w:rFonts w:hint="default" w:ascii="Times New Roman"/>
                <w:snapToGrid w:val="0"/>
                <w:color w:val="auto"/>
                <w:kern w:val="21"/>
                <w:szCs w:val="21"/>
                <w:lang w:val="en-US"/>
              </w:rPr>
            </w:pPr>
            <w:r>
              <w:rPr>
                <w:rFonts w:hint="eastAsia" w:cs="Times New Roman"/>
                <w:b w:val="0"/>
                <w:bCs/>
                <w:snapToGrid w:val="0"/>
                <w:color w:val="auto"/>
                <w:kern w:val="0"/>
                <w:sz w:val="21"/>
                <w:szCs w:val="21"/>
                <w:highlight w:val="none"/>
                <w:lang w:val="en-US" w:eastAsia="zh-CN" w:bidi="ar-SA"/>
              </w:rPr>
              <w:t>1.343t/a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2127" w:type="dxa"/>
            <w:noWrap w:val="0"/>
            <w:vAlign w:val="center"/>
          </w:tcPr>
          <w:p>
            <w:pPr>
              <w:pStyle w:val="63"/>
              <w:spacing w:beforeLines="0" w:afterLines="0" w:line="240" w:lineRule="auto"/>
              <w:rPr>
                <w:rFonts w:ascii="Times New Roman"/>
                <w:color w:val="auto"/>
              </w:rPr>
            </w:pPr>
            <w:r>
              <w:rPr>
                <w:rFonts w:ascii="Times New Roman"/>
                <w:color w:val="auto"/>
                <w:szCs w:val="21"/>
              </w:rPr>
              <w:t>COD</w:t>
            </w:r>
          </w:p>
        </w:tc>
        <w:tc>
          <w:tcPr>
            <w:tcW w:w="15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134"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70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9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826"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ascii="Times New Roman"/>
                <w:color w:val="auto"/>
              </w:rPr>
            </w:pPr>
            <w:r>
              <w:rPr>
                <w:rFonts w:ascii="Times New Roman"/>
                <w:color w:val="auto"/>
                <w:szCs w:val="21"/>
              </w:rPr>
              <w:t>NH</w:t>
            </w:r>
            <w:r>
              <w:rPr>
                <w:rFonts w:ascii="Times New Roman"/>
                <w:color w:val="auto"/>
                <w:szCs w:val="21"/>
                <w:vertAlign w:val="subscript"/>
              </w:rPr>
              <w:t>3</w:t>
            </w:r>
            <w:r>
              <w:rPr>
                <w:rFonts w:ascii="Times New Roman"/>
                <w:color w:val="auto"/>
                <w:szCs w:val="21"/>
              </w:rPr>
              <w:t>-N</w:t>
            </w:r>
          </w:p>
        </w:tc>
        <w:tc>
          <w:tcPr>
            <w:tcW w:w="1559"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bidi w:val="0"/>
              <w:jc w:val="center"/>
              <w:rPr>
                <w:rFonts w:hint="default"/>
                <w:color w:val="auto"/>
                <w:lang w:val="en-US" w:eastAsia="zh-CN"/>
              </w:rPr>
            </w:pPr>
            <w:r>
              <w:rPr>
                <w:rFonts w:hint="eastAsia"/>
                <w:color w:val="auto"/>
                <w:szCs w:val="21"/>
                <w:lang w:val="en-US" w:eastAsia="zh-CN"/>
              </w:rPr>
              <w:t>/</w:t>
            </w:r>
          </w:p>
        </w:tc>
        <w:tc>
          <w:tcPr>
            <w:tcW w:w="176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959"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826"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63"/>
              <w:spacing w:before="24" w:after="24" w:line="240" w:lineRule="auto"/>
              <w:rPr>
                <w:rFonts w:ascii="Times New Roman"/>
                <w:snapToGrid w:val="0"/>
                <w:color w:val="auto"/>
                <w:kern w:val="21"/>
                <w:szCs w:val="21"/>
              </w:rPr>
            </w:pPr>
            <w:r>
              <w:rPr>
                <w:rFonts w:ascii="Times New Roman"/>
                <w:snapToGrid w:val="0"/>
                <w:color w:val="auto"/>
                <w:kern w:val="21"/>
                <w:szCs w:val="21"/>
              </w:rPr>
              <w:t>固体废物</w:t>
            </w:r>
          </w:p>
        </w:tc>
        <w:tc>
          <w:tcPr>
            <w:tcW w:w="2127"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除尘灰</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58.544t/a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258.236</w:t>
            </w:r>
            <w:r>
              <w:rPr>
                <w:rFonts w:ascii="Times New Roman"/>
                <w:color w:val="auto"/>
                <w:szCs w:val="21"/>
              </w:rPr>
              <w:t>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58.544t/a</w:t>
            </w:r>
          </w:p>
        </w:tc>
        <w:tc>
          <w:tcPr>
            <w:tcW w:w="19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258.236</w:t>
            </w:r>
            <w:r>
              <w:rPr>
                <w:rFonts w:ascii="Times New Roman"/>
                <w:color w:val="auto"/>
                <w:szCs w:val="21"/>
              </w:rPr>
              <w:t>t/a</w:t>
            </w:r>
          </w:p>
        </w:tc>
        <w:tc>
          <w:tcPr>
            <w:tcW w:w="826"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199.692</w:t>
            </w:r>
            <w:r>
              <w:rPr>
                <w:rFonts w:ascii="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24" w:after="24"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废布袋</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0.01t/a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0.01t/a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0.01t/a</w:t>
            </w:r>
          </w:p>
        </w:tc>
        <w:tc>
          <w:tcPr>
            <w:tcW w:w="1959" w:type="dxa"/>
            <w:noWrap w:val="0"/>
            <w:vAlign w:val="center"/>
          </w:tcPr>
          <w:p>
            <w:pPr>
              <w:pStyle w:val="63"/>
              <w:spacing w:beforeLines="0" w:afterLines="0" w:line="240" w:lineRule="auto"/>
              <w:rPr>
                <w:rFonts w:ascii="Times New Roman"/>
                <w:color w:val="auto"/>
                <w:szCs w:val="21"/>
              </w:rPr>
            </w:pPr>
            <w:r>
              <w:rPr>
                <w:rFonts w:hint="eastAsia" w:ascii="Times New Roman"/>
                <w:color w:val="auto"/>
                <w:szCs w:val="21"/>
                <w:lang w:val="en-US" w:eastAsia="zh-CN"/>
              </w:rPr>
              <w:t>0.01t/a</w:t>
            </w:r>
          </w:p>
        </w:tc>
        <w:tc>
          <w:tcPr>
            <w:tcW w:w="826" w:type="dxa"/>
            <w:noWrap w:val="0"/>
            <w:vAlign w:val="center"/>
          </w:tcPr>
          <w:p>
            <w:pPr>
              <w:pStyle w:val="63"/>
              <w:spacing w:beforeLines="0" w:afterLines="0" w:line="240" w:lineRule="auto"/>
              <w:rPr>
                <w:rFonts w:hint="eastAsia" w:ascii="Times New Roman"/>
                <w:color w:val="auto"/>
                <w:szCs w:val="21"/>
              </w:rPr>
            </w:pPr>
            <w:r>
              <w:rPr>
                <w:rFonts w:hint="eastAsia" w:ascii="Times New Roman"/>
                <w:color w:val="auto"/>
                <w:szCs w:val="21"/>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24" w:after="24"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废离子交换树脂</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0.3t/a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0.3t/a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0.3t/a</w:t>
            </w:r>
          </w:p>
        </w:tc>
        <w:tc>
          <w:tcPr>
            <w:tcW w:w="1959" w:type="dxa"/>
            <w:noWrap w:val="0"/>
            <w:vAlign w:val="center"/>
          </w:tcPr>
          <w:p>
            <w:pPr>
              <w:pStyle w:val="63"/>
              <w:spacing w:beforeLines="0" w:afterLines="0" w:line="240" w:lineRule="auto"/>
              <w:rPr>
                <w:rFonts w:hint="eastAsia" w:ascii="Times New Roman"/>
                <w:color w:val="auto"/>
                <w:szCs w:val="21"/>
                <w:lang w:val="en-US" w:eastAsia="zh-CN"/>
              </w:rPr>
            </w:pPr>
            <w:r>
              <w:rPr>
                <w:rFonts w:hint="eastAsia" w:ascii="Times New Roman"/>
                <w:color w:val="auto"/>
                <w:szCs w:val="21"/>
                <w:lang w:val="en-US" w:eastAsia="zh-CN"/>
              </w:rPr>
              <w:t>0.3t/a</w:t>
            </w:r>
          </w:p>
        </w:tc>
        <w:tc>
          <w:tcPr>
            <w:tcW w:w="826" w:type="dxa"/>
            <w:noWrap w:val="0"/>
            <w:vAlign w:val="center"/>
          </w:tcPr>
          <w:p>
            <w:pPr>
              <w:pStyle w:val="63"/>
              <w:spacing w:beforeLines="0" w:afterLines="0" w:line="240" w:lineRule="auto"/>
              <w:rPr>
                <w:rFonts w:hint="eastAsia" w:ascii="Times New Roman"/>
                <w:color w:val="auto"/>
                <w:szCs w:val="21"/>
                <w:lang w:val="en-US" w:eastAsia="zh-CN"/>
              </w:rPr>
            </w:pPr>
            <w:r>
              <w:rPr>
                <w:rFonts w:hint="eastAsia" w:ascii="Times New Roman"/>
                <w:color w:val="auto"/>
                <w:szCs w:val="21"/>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24" w:after="24"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污泥</w:t>
            </w:r>
          </w:p>
        </w:tc>
        <w:tc>
          <w:tcPr>
            <w:tcW w:w="1559" w:type="dxa"/>
            <w:noWrap w:val="0"/>
            <w:vAlign w:val="center"/>
          </w:tcPr>
          <w:p>
            <w:pPr>
              <w:pStyle w:val="63"/>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0t/a</w:t>
            </w:r>
          </w:p>
        </w:tc>
        <w:tc>
          <w:tcPr>
            <w:tcW w:w="1134" w:type="dxa"/>
            <w:noWrap w:val="0"/>
            <w:vAlign w:val="center"/>
          </w:tcPr>
          <w:p>
            <w:pPr>
              <w:bidi w:val="0"/>
              <w:jc w:val="center"/>
              <w:rPr>
                <w:rFonts w:hint="default"/>
                <w:color w:val="auto"/>
                <w:szCs w:val="21"/>
                <w:lang w:val="en-US" w:eastAsia="zh-CN"/>
              </w:rPr>
            </w:pPr>
            <w:r>
              <w:rPr>
                <w:rFonts w:hint="eastAsia"/>
                <w:color w:val="auto"/>
                <w:szCs w:val="21"/>
                <w:lang w:val="en-US" w:eastAsia="zh-CN"/>
              </w:rPr>
              <w:t>/</w:t>
            </w:r>
          </w:p>
        </w:tc>
        <w:tc>
          <w:tcPr>
            <w:tcW w:w="1701" w:type="dxa"/>
            <w:noWrap w:val="0"/>
            <w:vAlign w:val="center"/>
          </w:tcPr>
          <w:p>
            <w:pPr>
              <w:bidi w:val="0"/>
              <w:jc w:val="center"/>
              <w:rPr>
                <w:rFonts w:hint="default"/>
                <w:color w:val="auto"/>
                <w:szCs w:val="21"/>
                <w:lang w:val="en-US" w:eastAsia="zh-CN"/>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0.5t/a</w:t>
            </w:r>
          </w:p>
        </w:tc>
        <w:tc>
          <w:tcPr>
            <w:tcW w:w="1761" w:type="dxa"/>
            <w:noWrap w:val="0"/>
            <w:vAlign w:val="center"/>
          </w:tcPr>
          <w:p>
            <w:pPr>
              <w:pStyle w:val="63"/>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0t/a</w:t>
            </w:r>
          </w:p>
        </w:tc>
        <w:tc>
          <w:tcPr>
            <w:tcW w:w="1959"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0.5t/a</w:t>
            </w:r>
          </w:p>
        </w:tc>
        <w:tc>
          <w:tcPr>
            <w:tcW w:w="826"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eastAsia" w:ascii="Times New Roman" w:eastAsia="宋体"/>
                <w:color w:val="auto"/>
                <w:szCs w:val="21"/>
                <w:lang w:val="en-US" w:eastAsia="zh-CN"/>
              </w:rPr>
            </w:pPr>
            <w:r>
              <w:rPr>
                <w:rFonts w:hint="eastAsia" w:ascii="Times New Roman"/>
                <w:snapToGrid w:val="0"/>
                <w:color w:val="auto"/>
                <w:kern w:val="21"/>
                <w:szCs w:val="21"/>
                <w:lang w:val="en-US" w:eastAsia="zh-CN"/>
              </w:rPr>
              <w:t>灰渣</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308.6t/a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514.25t/a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308.6t/a</w:t>
            </w:r>
          </w:p>
        </w:tc>
        <w:tc>
          <w:tcPr>
            <w:tcW w:w="1959" w:type="dxa"/>
            <w:noWrap w:val="0"/>
            <w:vAlign w:val="center"/>
          </w:tcPr>
          <w:p>
            <w:pPr>
              <w:pStyle w:val="63"/>
              <w:spacing w:beforeLines="0" w:afterLines="0" w:line="240" w:lineRule="auto"/>
              <w:rPr>
                <w:rFonts w:ascii="Times New Roman"/>
                <w:color w:val="auto"/>
                <w:szCs w:val="21"/>
              </w:rPr>
            </w:pPr>
            <w:r>
              <w:rPr>
                <w:rFonts w:hint="eastAsia" w:ascii="Times New Roman"/>
                <w:color w:val="auto"/>
                <w:szCs w:val="21"/>
                <w:lang w:val="en-US" w:eastAsia="zh-CN"/>
              </w:rPr>
              <w:t>514.25t/a</w:t>
            </w:r>
          </w:p>
        </w:tc>
        <w:tc>
          <w:tcPr>
            <w:tcW w:w="826"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205.65t/a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shd w:val="clear" w:color="auto" w:fill="auto"/>
            <w:noWrap w:val="0"/>
            <w:vAlign w:val="center"/>
          </w:tcPr>
          <w:p>
            <w:pPr>
              <w:pStyle w:val="63"/>
              <w:spacing w:beforeLines="0" w:afterLines="0" w:line="240" w:lineRule="auto"/>
              <w:rPr>
                <w:rFonts w:hint="default" w:ascii="Times New Roman" w:eastAsia="宋体"/>
                <w:snapToGrid w:val="0"/>
                <w:color w:val="auto"/>
                <w:kern w:val="21"/>
                <w:sz w:val="21"/>
                <w:szCs w:val="21"/>
                <w:lang w:val="en-US" w:eastAsia="zh-CN" w:bidi="ar-SA"/>
              </w:rPr>
            </w:pPr>
            <w:r>
              <w:rPr>
                <w:rFonts w:hint="eastAsia" w:ascii="Times New Roman"/>
                <w:snapToGrid w:val="0"/>
                <w:color w:val="auto"/>
                <w:kern w:val="21"/>
                <w:szCs w:val="21"/>
                <w:lang w:val="en-US" w:eastAsia="zh-CN"/>
              </w:rPr>
              <w:t>生活垃圾</w:t>
            </w:r>
          </w:p>
        </w:tc>
        <w:tc>
          <w:tcPr>
            <w:tcW w:w="2127"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生活垃圾</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0.315t/a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hAnsi="Times New Roman" w:cs="Times New Roman"/>
                <w:color w:val="auto"/>
                <w:sz w:val="21"/>
                <w:szCs w:val="21"/>
                <w:highlight w:val="none"/>
                <w:lang w:val="en-US" w:eastAsia="zh-CN"/>
              </w:rPr>
              <w:t>0t/a</w:t>
            </w:r>
          </w:p>
        </w:tc>
        <w:tc>
          <w:tcPr>
            <w:tcW w:w="1761" w:type="dxa"/>
            <w:noWrap w:val="0"/>
            <w:vAlign w:val="center"/>
          </w:tcPr>
          <w:p>
            <w:pPr>
              <w:spacing w:beforeLines="0" w:afterLines="0" w:line="240" w:lineRule="auto"/>
              <w:jc w:val="center"/>
              <w:rPr>
                <w:rFonts w:ascii="Times New Roman"/>
                <w:snapToGrid w:val="0"/>
                <w:color w:val="auto"/>
                <w:kern w:val="21"/>
                <w:szCs w:val="21"/>
              </w:rPr>
            </w:pPr>
            <w:r>
              <w:rPr>
                <w:rFonts w:hint="eastAsia" w:ascii="Times New Roman"/>
                <w:color w:val="auto"/>
                <w:szCs w:val="21"/>
                <w:lang w:val="en-US" w:eastAsia="zh-CN"/>
              </w:rPr>
              <w:t>/</w:t>
            </w:r>
          </w:p>
        </w:tc>
        <w:tc>
          <w:tcPr>
            <w:tcW w:w="1959" w:type="dxa"/>
            <w:noWrap w:val="0"/>
            <w:vAlign w:val="center"/>
          </w:tcPr>
          <w:p>
            <w:pPr>
              <w:spacing w:beforeLines="0" w:afterLines="0" w:line="240" w:lineRule="auto"/>
              <w:jc w:val="center"/>
              <w:rPr>
                <w:rFonts w:ascii="Times New Roman"/>
                <w:snapToGrid w:val="0"/>
                <w:color w:val="auto"/>
                <w:kern w:val="21"/>
                <w:szCs w:val="21"/>
              </w:rPr>
            </w:pPr>
            <w:r>
              <w:rPr>
                <w:rFonts w:hint="eastAsia" w:ascii="Times New Roman" w:hAnsi="Times New Roman" w:cs="Times New Roman"/>
                <w:color w:val="auto"/>
                <w:sz w:val="21"/>
                <w:szCs w:val="21"/>
                <w:highlight w:val="none"/>
                <w:lang w:val="en-US" w:eastAsia="zh-CN"/>
              </w:rPr>
              <w:t>0</w:t>
            </w:r>
            <w:r>
              <w:rPr>
                <w:rFonts w:hint="eastAsia" w:ascii="Times New Roman"/>
                <w:snapToGrid w:val="0"/>
                <w:color w:val="auto"/>
                <w:kern w:val="21"/>
                <w:szCs w:val="21"/>
                <w:lang w:val="en-US" w:eastAsia="zh-CN"/>
              </w:rPr>
              <w:t>t/a</w:t>
            </w:r>
          </w:p>
        </w:tc>
        <w:tc>
          <w:tcPr>
            <w:tcW w:w="826" w:type="dxa"/>
            <w:noWrap w:val="0"/>
            <w:vAlign w:val="center"/>
          </w:tcPr>
          <w:p>
            <w:pPr>
              <w:spacing w:beforeLines="0" w:afterLines="0" w:line="240" w:lineRule="auto"/>
              <w:jc w:val="center"/>
              <w:rPr>
                <w:rFonts w:ascii="Times New Roman"/>
                <w:snapToGrid w:val="0"/>
                <w:color w:val="auto"/>
                <w:kern w:val="21"/>
                <w:szCs w:val="21"/>
              </w:rPr>
            </w:pPr>
            <w:r>
              <w:rPr>
                <w:rFonts w:hint="eastAsia" w:ascii="Times New Roman" w:hAnsi="Times New Roman" w:cs="Times New Roman"/>
                <w:color w:val="auto"/>
                <w:sz w:val="21"/>
                <w:szCs w:val="21"/>
                <w:highlight w:val="none"/>
                <w:lang w:val="en-US" w:eastAsia="zh-CN"/>
              </w:rPr>
              <w:t>0</w:t>
            </w:r>
            <w:r>
              <w:rPr>
                <w:rFonts w:hint="eastAsia" w:ascii="Times New Roman"/>
                <w:snapToGrid w:val="0"/>
                <w:color w:val="auto"/>
                <w:kern w:val="21"/>
                <w:szCs w:val="21"/>
                <w:lang w:val="en-US" w:eastAsia="zh-CN"/>
              </w:rPr>
              <w:t>t/a</w:t>
            </w:r>
          </w:p>
        </w:tc>
      </w:tr>
    </w:tbl>
    <w:p>
      <w:pPr>
        <w:pStyle w:val="63"/>
        <w:spacing w:before="192" w:beforeLines="80" w:after="24"/>
        <w:jc w:val="left"/>
        <w:rPr>
          <w:rFonts w:ascii="Times New Roman"/>
          <w:snapToGrid w:val="0"/>
          <w:color w:val="auto"/>
          <w:spacing w:val="-6"/>
          <w:kern w:val="21"/>
          <w:szCs w:val="21"/>
        </w:rPr>
        <w:sectPr>
          <w:footerReference r:id="rId7" w:type="default"/>
          <w:pgSz w:w="16838" w:h="11906" w:orient="landscape"/>
          <w:pgMar w:top="1531" w:right="1701" w:bottom="1531" w:left="1701" w:header="851" w:footer="851" w:gutter="0"/>
          <w:cols w:space="720" w:num="1"/>
          <w:docGrid w:linePitch="312" w:charSpace="0"/>
        </w:sect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5796280</wp:posOffset>
                </wp:positionH>
                <wp:positionV relativeFrom="paragraph">
                  <wp:posOffset>2195195</wp:posOffset>
                </wp:positionV>
                <wp:extent cx="995045" cy="285750"/>
                <wp:effectExtent l="165100" t="5080" r="20955" b="147320"/>
                <wp:wrapNone/>
                <wp:docPr id="13"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62884"/>
                            <a:gd name="adj2" fmla="val 91111"/>
                          </a:avLst>
                        </a:prstGeom>
                        <a:noFill/>
                        <a:ln w="6350" cap="flat" cmpd="sng">
                          <a:solidFill>
                            <a:srgbClr val="FF0000"/>
                          </a:solidFill>
                          <a:prstDash val="solid"/>
                          <a:miter/>
                          <a:headEnd type="none" w="med" len="med"/>
                          <a:tailEnd type="none" w="med" len="med"/>
                        </a:ln>
                      </wps:spPr>
                      <wps:txbx>
                        <w:txbxContent>
                          <w:p>
                            <w:pPr>
                              <w:rPr>
                                <w:rFonts w:hint="eastAsia" w:eastAsia="宋体"/>
                                <w:color w:val="FF0000"/>
                                <w:lang w:eastAsia="zh-CN"/>
                              </w:rPr>
                            </w:pPr>
                            <w:r>
                              <w:rPr>
                                <w:rFonts w:hint="eastAsia"/>
                                <w:color w:val="FF0000"/>
                                <w:lang w:eastAsia="zh-CN"/>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456.4pt;margin-top:172.85pt;height:22.5pt;width:78.35pt;z-index:251664384;mso-width-relative:page;mso-height-relative:page;" filled="f" stroked="t" coordsize="21600,21600" o:gfxdata="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K3NELbAAAADAEAAA8AAAAAAAAAAQAgAAAAIgAAAGRy&#10;cy9kb3ducmV2LnhtbFBLAQIUABQAAAAIAIdO4kABPQp5OwIAAEsEAAAOAAAAAAAAAAEAIAAAACoB&#10;AABkcnMvZTJvRG9jLnhtbFBLBQYAAAAABgAGAFkBAADXBQAAAAA=&#10;" adj="-2783,30480">
                <v:fill on="f" focussize="0,0"/>
                <v:stroke weight="0.5pt" color="#FF0000" joinstyle="miter"/>
                <v:imagedata o:title=""/>
                <o:lock v:ext="edit" aspectratio="f"/>
                <v:textbox>
                  <w:txbxContent>
                    <w:p>
                      <w:pPr>
                        <w:rPr>
                          <w:rFonts w:hint="eastAsia" w:eastAsia="宋体"/>
                          <w:color w:val="FF0000"/>
                          <w:lang w:eastAsia="zh-CN"/>
                        </w:rPr>
                      </w:pPr>
                      <w:r>
                        <w:rPr>
                          <w:rFonts w:hint="eastAsia"/>
                          <w:color w:val="FF0000"/>
                          <w:lang w:eastAsia="zh-CN"/>
                        </w:rPr>
                        <w:t>项目所在地</w:t>
                      </w:r>
                    </w:p>
                  </w:txbxContent>
                </v:textbox>
              </v:shape>
            </w:pict>
          </mc:Fallback>
        </mc:AlternateContent>
      </w:r>
      <w:r>
        <w:rPr>
          <w:color w:val="auto"/>
        </w:rPr>
        <w:drawing>
          <wp:anchor distT="0" distB="0" distL="114300" distR="114300" simplePos="0" relativeHeight="251665408" behindDoc="0" locked="0" layoutInCell="1" allowOverlap="1">
            <wp:simplePos x="0" y="0"/>
            <wp:positionH relativeFrom="column">
              <wp:posOffset>7879080</wp:posOffset>
            </wp:positionH>
            <wp:positionV relativeFrom="paragraph">
              <wp:posOffset>427990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2"/>
                    <a:stretch>
                      <a:fillRect/>
                    </a:stretch>
                  </pic:blipFill>
                  <pic:spPr>
                    <a:xfrm>
                      <a:off x="0" y="0"/>
                      <a:ext cx="855345" cy="829945"/>
                    </a:xfrm>
                    <a:prstGeom prst="rect">
                      <a:avLst/>
                    </a:prstGeom>
                    <a:noFill/>
                    <a:ln>
                      <a:noFill/>
                    </a:ln>
                  </pic:spPr>
                </pic:pic>
              </a:graphicData>
            </a:graphic>
          </wp:anchor>
        </w:drawing>
      </w:r>
      <w:r>
        <w:drawing>
          <wp:inline distT="0" distB="0" distL="114300" distR="114300">
            <wp:extent cx="5422265" cy="5554980"/>
            <wp:effectExtent l="0" t="0" r="6985" b="7620"/>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pic:cNvPicPr>
                      <a:picLocks noChangeAspect="1"/>
                    </pic:cNvPicPr>
                  </pic:nvPicPr>
                  <pic:blipFill>
                    <a:blip r:embed="rId43"/>
                    <a:stretch>
                      <a:fillRect/>
                    </a:stretch>
                  </pic:blipFill>
                  <pic:spPr>
                    <a:xfrm>
                      <a:off x="0" y="0"/>
                      <a:ext cx="5422265" cy="5554980"/>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643" w:firstLineChars="200"/>
        <w:jc w:val="center"/>
        <w:textAlignment w:val="auto"/>
        <w:outlineLvl w:val="0"/>
        <w:rPr>
          <w:rFonts w:hint="default" w:ascii="Times New Roman" w:hAnsi="Times New Roman" w:eastAsia="宋体" w:cs="Times New Roman"/>
          <w:b/>
          <w:bCs/>
          <w:color w:val="auto"/>
        </w:rPr>
      </w:pPr>
      <w:bookmarkStart w:id="49" w:name="_Toc23195"/>
      <w:bookmarkStart w:id="50" w:name="_Toc9845"/>
      <w:bookmarkStart w:id="51" w:name="_Toc23128"/>
      <w:r>
        <w:rPr>
          <w:rFonts w:hint="default" w:ascii="Times New Roman" w:hAnsi="Times New Roman" w:eastAsia="宋体" w:cs="Times New Roman"/>
          <w:b/>
          <w:bCs/>
          <w:snapToGrid w:val="0"/>
          <w:color w:val="auto"/>
          <w:sz w:val="32"/>
          <w:szCs w:val="32"/>
        </w:rPr>
        <w:t>附</w:t>
      </w:r>
      <w:r>
        <w:rPr>
          <w:rFonts w:hint="default" w:ascii="Times New Roman" w:hAnsi="Times New Roman" w:eastAsia="宋体" w:cs="Times New Roman"/>
          <w:b/>
          <w:bCs/>
          <w:snapToGrid w:val="0"/>
          <w:color w:val="auto"/>
          <w:sz w:val="32"/>
          <w:szCs w:val="32"/>
          <w:lang w:eastAsia="zh-CN"/>
        </w:rPr>
        <w:t>图</w:t>
      </w:r>
      <w:r>
        <w:rPr>
          <w:rFonts w:hint="default" w:ascii="Times New Roman" w:hAnsi="Times New Roman" w:eastAsia="宋体" w:cs="Times New Roman"/>
          <w:b/>
          <w:bCs/>
          <w:snapToGrid w:val="0"/>
          <w:color w:val="auto"/>
          <w:sz w:val="32"/>
          <w:szCs w:val="32"/>
          <w:lang w:val="en-US" w:eastAsia="zh-CN"/>
        </w:rPr>
        <w:t>1 本项目地理位置图</w:t>
      </w:r>
      <w:bookmarkEnd w:id="49"/>
      <w:bookmarkEnd w:id="50"/>
      <w:bookmarkEnd w:id="51"/>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b/>
          <w:bCs/>
          <w:color w:val="auto"/>
          <w:lang w:val="en-US" w:eastAsia="zh-CN"/>
        </w:rPr>
        <w:sectPr>
          <w:footerReference r:id="rId8"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snapToGrid w:val="0"/>
          <w:color w:val="auto"/>
          <w:sz w:val="32"/>
          <w:szCs w:val="32"/>
          <w:lang w:eastAsia="zh-CN"/>
        </w:rPr>
      </w:pPr>
      <w:bookmarkStart w:id="52" w:name="_Toc23849"/>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color w:val="auto"/>
        </w:rPr>
      </w:pPr>
      <w:bookmarkStart w:id="53" w:name="_Toc5220"/>
      <w:r>
        <w:drawing>
          <wp:inline distT="0" distB="0" distL="114300" distR="114300">
            <wp:extent cx="5191125" cy="4010025"/>
            <wp:effectExtent l="0" t="0" r="9525" b="9525"/>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44"/>
                    <a:stretch>
                      <a:fillRect/>
                    </a:stretch>
                  </pic:blipFill>
                  <pic:spPr>
                    <a:xfrm>
                      <a:off x="0" y="0"/>
                      <a:ext cx="5191125" cy="4010025"/>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32"/>
          <w:szCs w:val="32"/>
          <w:highlight w:val="none"/>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4" w:name="_Toc19245"/>
      <w:r>
        <w:rPr>
          <w:rFonts w:hint="default" w:ascii="Times New Roman" w:hAnsi="Times New Roman" w:eastAsia="宋体" w:cs="Times New Roman"/>
          <w:b/>
          <w:bCs/>
          <w:snapToGrid w:val="0"/>
          <w:color w:val="auto"/>
          <w:sz w:val="32"/>
          <w:szCs w:val="32"/>
        </w:rPr>
        <w:t>附</w:t>
      </w:r>
      <w:r>
        <w:rPr>
          <w:rFonts w:hint="default" w:ascii="Times New Roman" w:hAnsi="Times New Roman" w:eastAsia="宋体" w:cs="Times New Roman"/>
          <w:b/>
          <w:bCs/>
          <w:snapToGrid w:val="0"/>
          <w:color w:val="auto"/>
          <w:sz w:val="32"/>
          <w:szCs w:val="32"/>
          <w:highlight w:val="none"/>
          <w:lang w:eastAsia="zh-CN"/>
        </w:rPr>
        <w:t>图</w:t>
      </w:r>
      <w:r>
        <w:rPr>
          <w:rFonts w:hint="default" w:ascii="Times New Roman" w:hAnsi="Times New Roman" w:eastAsia="宋体" w:cs="Times New Roman"/>
          <w:b/>
          <w:bCs/>
          <w:snapToGrid w:val="0"/>
          <w:color w:val="auto"/>
          <w:sz w:val="32"/>
          <w:szCs w:val="32"/>
          <w:highlight w:val="none"/>
          <w:lang w:val="en-US" w:eastAsia="zh-CN"/>
        </w:rPr>
        <w:t>2 厂区总平面布置图</w:t>
      </w:r>
      <w:bookmarkEnd w:id="52"/>
      <w:bookmarkEnd w:id="53"/>
      <w:bookmarkEnd w:id="54"/>
    </w:p>
    <w:p>
      <w:pPr>
        <w:bidi w:val="0"/>
        <w:jc w:val="center"/>
        <w:rPr>
          <w:rFonts w:hint="default" w:ascii="Times New Roman" w:hAnsi="Times New Roman" w:cs="Times New Roman"/>
          <w:color w:val="auto"/>
        </w:rPr>
      </w:pPr>
      <w:r>
        <w:rPr>
          <w:color w:val="auto"/>
        </w:rPr>
        <w:drawing>
          <wp:anchor distT="0" distB="0" distL="114300" distR="114300" simplePos="0" relativeHeight="251674624" behindDoc="0" locked="0" layoutInCell="1" allowOverlap="1">
            <wp:simplePos x="0" y="0"/>
            <wp:positionH relativeFrom="column">
              <wp:posOffset>7223760</wp:posOffset>
            </wp:positionH>
            <wp:positionV relativeFrom="paragraph">
              <wp:posOffset>248920</wp:posOffset>
            </wp:positionV>
            <wp:extent cx="855345" cy="829945"/>
            <wp:effectExtent l="0" t="0" r="1905" b="825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2"/>
                    <a:stretch>
                      <a:fillRect/>
                    </a:stretch>
                  </pic:blipFill>
                  <pic:spPr>
                    <a:xfrm>
                      <a:off x="0" y="0"/>
                      <a:ext cx="855345" cy="829945"/>
                    </a:xfrm>
                    <a:prstGeom prst="rect">
                      <a:avLst/>
                    </a:prstGeom>
                    <a:noFill/>
                    <a:ln>
                      <a:noFill/>
                    </a:ln>
                  </pic:spPr>
                </pic:pic>
              </a:graphicData>
            </a:graphic>
          </wp:anchor>
        </w:drawing>
      </w:r>
      <w:r>
        <w:drawing>
          <wp:inline distT="0" distB="0" distL="114300" distR="114300">
            <wp:extent cx="8696325" cy="4467225"/>
            <wp:effectExtent l="0" t="0" r="9525" b="9525"/>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45"/>
                    <a:stretch>
                      <a:fillRect/>
                    </a:stretch>
                  </pic:blipFill>
                  <pic:spPr>
                    <a:xfrm>
                      <a:off x="0" y="0"/>
                      <a:ext cx="8696325" cy="4467225"/>
                    </a:xfrm>
                    <a:prstGeom prst="rect">
                      <a:avLst/>
                    </a:prstGeom>
                    <a:noFill/>
                    <a:ln>
                      <a:noFill/>
                    </a:ln>
                  </pic:spPr>
                </pic:pic>
              </a:graphicData>
            </a:graphic>
          </wp:inline>
        </w:drawing>
      </w:r>
    </w:p>
    <w:p>
      <w:pPr>
        <w:pStyle w:val="2"/>
        <w:bidi w:val="0"/>
        <w:jc w:val="center"/>
        <w:rPr>
          <w:rFonts w:hint="default" w:ascii="Times New Roman" w:hAnsi="Times New Roman" w:eastAsia="宋体" w:cs="Times New Roman"/>
          <w:color w:val="auto"/>
          <w:sz w:val="32"/>
          <w:szCs w:val="32"/>
          <w:highlight w:val="none"/>
          <w:lang w:val="en-US" w:eastAsia="zh-CN"/>
        </w:rPr>
      </w:pPr>
      <w:bookmarkStart w:id="55" w:name="_Toc17022"/>
      <w:bookmarkStart w:id="56" w:name="_Toc6596"/>
      <w:bookmarkStart w:id="57" w:name="_Toc31907"/>
      <w:r>
        <w:rPr>
          <w:rFonts w:hint="default" w:ascii="Times New Roman" w:hAnsi="Times New Roman" w:eastAsia="宋体" w:cs="Times New Roman"/>
          <w:color w:val="auto"/>
          <w:sz w:val="32"/>
          <w:szCs w:val="32"/>
          <w:highlight w:val="none"/>
          <w:lang w:val="en-US" w:eastAsia="zh-CN"/>
        </w:rPr>
        <w:t xml:space="preserve">附图3 </w:t>
      </w:r>
      <w:bookmarkEnd w:id="55"/>
      <w:r>
        <w:rPr>
          <w:rFonts w:hint="default" w:ascii="Times New Roman" w:hAnsi="Times New Roman" w:eastAsia="宋体" w:cs="Times New Roman"/>
          <w:color w:val="auto"/>
          <w:sz w:val="32"/>
          <w:szCs w:val="32"/>
          <w:highlight w:val="none"/>
          <w:lang w:val="en-US" w:eastAsia="zh-CN"/>
        </w:rPr>
        <w:t>与环境管控单元位置叠加图</w:t>
      </w:r>
      <w:bookmarkEnd w:id="56"/>
      <w:bookmarkEnd w:id="57"/>
    </w:p>
    <w:p>
      <w:pPr>
        <w:pStyle w:val="29"/>
        <w:rPr>
          <w:rFonts w:hint="default" w:ascii="Times New Roman" w:hAnsi="Times New Roman" w:cs="Times New Roman"/>
          <w:color w:val="auto"/>
        </w:r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pgSz w:w="16838" w:h="11906"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宋体" w:cs="Times New Roman"/>
          <w:color w:val="auto"/>
          <w:lang w:val="en-US" w:eastAsia="zh-CN"/>
        </w:rPr>
      </w:pPr>
      <w:bookmarkStart w:id="58" w:name="_Toc23724"/>
      <w:bookmarkStart w:id="59" w:name="_Toc31334"/>
      <w:bookmarkStart w:id="60" w:name="_Toc589"/>
      <w:r>
        <w:rPr>
          <w:rFonts w:hint="default" w:ascii="Times New Roman" w:hAnsi="Times New Roman" w:eastAsia="宋体" w:cs="Times New Roman"/>
          <w:color w:val="auto"/>
          <w:lang w:val="en-US" w:eastAsia="zh-CN"/>
        </w:rPr>
        <w:t>附件1 监测报告</w:t>
      </w:r>
      <w:bookmarkEnd w:id="58"/>
      <w:bookmarkEnd w:id="59"/>
      <w:bookmarkEnd w:id="60"/>
    </w:p>
    <w:p>
      <w:pPr>
        <w:rPr>
          <w:rFonts w:hint="default" w:ascii="Times New Roman" w:hAnsi="Times New Roman" w:cs="Times New Roman"/>
          <w:color w:val="auto"/>
          <w:lang w:val="en-US" w:eastAsia="zh-CN"/>
        </w:rPr>
      </w:pPr>
    </w:p>
    <w:p>
      <w:pPr>
        <w:rPr>
          <w:rFonts w:hint="default" w:ascii="Times New Roman" w:hAnsi="Times New Roman" w:eastAsia="宋体" w:cs="Times New Roman"/>
          <w:color w:val="auto"/>
          <w:lang w:eastAsia="zh-CN"/>
        </w:rPr>
      </w:pPr>
    </w:p>
    <w:p>
      <w:pPr>
        <w:pStyle w:val="100"/>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67" w:name="_GoBack"/>
      <w:bookmarkEnd w:id="67"/>
    </w:p>
    <w:p>
      <w:pPr>
        <w:pStyle w:val="2"/>
        <w:bidi w:val="0"/>
        <w:rPr>
          <w:rFonts w:hint="default" w:ascii="Times New Roman" w:hAnsi="Times New Roman" w:eastAsia="宋体" w:cs="Times New Roman"/>
          <w:color w:val="auto"/>
          <w:highlight w:val="none"/>
          <w:lang w:val="en-US" w:eastAsia="zh-CN"/>
        </w:rPr>
      </w:pPr>
      <w:bookmarkStart w:id="61" w:name="_Toc27704"/>
      <w:bookmarkStart w:id="62" w:name="_Toc30457"/>
      <w:bookmarkStart w:id="63" w:name="_Toc31022"/>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2 本项目生物质燃料分析报告</w:t>
      </w:r>
      <w:bookmarkEnd w:id="61"/>
    </w:p>
    <w:p>
      <w:pPr>
        <w:rPr>
          <w:rFonts w:hint="eastAsia"/>
          <w:color w:val="auto"/>
          <w:lang w:val="en-US" w:eastAsia="zh-CN"/>
        </w:rPr>
      </w:pPr>
    </w:p>
    <w:p>
      <w:pPr>
        <w:pStyle w:val="2"/>
        <w:bidi w:val="0"/>
        <w:rPr>
          <w:b/>
          <w:color w:val="auto"/>
          <w:sz w:val="28"/>
          <w:szCs w:val="22"/>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宋体" w:cs="Times New Roman"/>
          <w:color w:val="auto"/>
          <w:highlight w:val="none"/>
          <w:lang w:val="en-US" w:eastAsia="zh-CN"/>
        </w:rPr>
      </w:pPr>
      <w:bookmarkStart w:id="64" w:name="_Toc18227"/>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3 本项目原有煤燃料分析报告</w:t>
      </w:r>
      <w:bookmarkEnd w:id="64"/>
    </w:p>
    <w:p>
      <w:pPr>
        <w:rPr>
          <w:rFonts w:hint="eastAsia"/>
          <w:color w:val="auto"/>
          <w:lang w:val="en-US" w:eastAsia="zh-CN"/>
        </w:rPr>
      </w:pPr>
    </w:p>
    <w:p>
      <w:pPr>
        <w:pStyle w:val="2"/>
        <w:bidi w:val="0"/>
        <w:rPr>
          <w:color w:val="auto"/>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宋体" w:cs="Times New Roman"/>
          <w:color w:val="auto"/>
          <w:highlight w:val="none"/>
          <w:lang w:val="en-US" w:eastAsia="zh-CN"/>
        </w:rPr>
      </w:pPr>
      <w:bookmarkStart w:id="65" w:name="_Toc29787"/>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4 生态环境分区管控报告</w:t>
      </w:r>
      <w:bookmarkEnd w:id="65"/>
    </w:p>
    <w:p>
      <w:pPr>
        <w:rPr>
          <w:rFonts w:hint="default"/>
          <w:color w:val="auto"/>
          <w:lang w:val="en-US" w:eastAsia="zh-CN"/>
        </w:rPr>
      </w:pPr>
    </w:p>
    <w:p>
      <w:pPr>
        <w:pStyle w:val="2"/>
        <w:rPr>
          <w:rFonts w:hint="default"/>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272405" cy="2896235"/>
            <wp:effectExtent l="0" t="0" r="4445" b="18415"/>
            <wp:docPr id="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pic:cNvPicPr>
                      <a:picLocks noChangeAspect="1"/>
                    </pic:cNvPicPr>
                  </pic:nvPicPr>
                  <pic:blipFill>
                    <a:blip r:embed="rId46"/>
                    <a:stretch>
                      <a:fillRect/>
                    </a:stretch>
                  </pic:blipFill>
                  <pic:spPr>
                    <a:xfrm>
                      <a:off x="0" y="0"/>
                      <a:ext cx="5272405" cy="2896235"/>
                    </a:xfrm>
                    <a:prstGeom prst="rect">
                      <a:avLst/>
                    </a:prstGeom>
                    <a:noFill/>
                    <a:ln>
                      <a:noFill/>
                    </a:ln>
                  </pic:spPr>
                </pic:pic>
              </a:graphicData>
            </a:graphic>
          </wp:inline>
        </w:drawing>
      </w:r>
      <w:r>
        <w:drawing>
          <wp:inline distT="0" distB="0" distL="114300" distR="114300">
            <wp:extent cx="5273040" cy="2828290"/>
            <wp:effectExtent l="0" t="0" r="3810" b="10160"/>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47"/>
                    <a:stretch>
                      <a:fillRect/>
                    </a:stretch>
                  </pic:blipFill>
                  <pic:spPr>
                    <a:xfrm>
                      <a:off x="0" y="0"/>
                      <a:ext cx="5273040" cy="2828290"/>
                    </a:xfrm>
                    <a:prstGeom prst="rect">
                      <a:avLst/>
                    </a:prstGeom>
                    <a:noFill/>
                    <a:ln>
                      <a:noFill/>
                    </a:ln>
                  </pic:spPr>
                </pic:pic>
              </a:graphicData>
            </a:graphic>
          </wp:inline>
        </w:drawing>
      </w:r>
      <w:r>
        <w:drawing>
          <wp:inline distT="0" distB="0" distL="114300" distR="114300">
            <wp:extent cx="5271770" cy="3323590"/>
            <wp:effectExtent l="0" t="0" r="5080" b="1016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48"/>
                    <a:stretch>
                      <a:fillRect/>
                    </a:stretch>
                  </pic:blipFill>
                  <pic:spPr>
                    <a:xfrm>
                      <a:off x="0" y="0"/>
                      <a:ext cx="5271770" cy="3323590"/>
                    </a:xfrm>
                    <a:prstGeom prst="rect">
                      <a:avLst/>
                    </a:prstGeom>
                    <a:noFill/>
                    <a:ln>
                      <a:noFill/>
                    </a:ln>
                  </pic:spPr>
                </pic:pic>
              </a:graphicData>
            </a:graphic>
          </wp:inline>
        </w:drawing>
      </w:r>
      <w:r>
        <w:drawing>
          <wp:inline distT="0" distB="0" distL="114300" distR="114300">
            <wp:extent cx="5271770" cy="3512185"/>
            <wp:effectExtent l="0" t="0" r="5080" b="12065"/>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pic:cNvPicPr>
                      <a:picLocks noChangeAspect="1"/>
                    </pic:cNvPicPr>
                  </pic:nvPicPr>
                  <pic:blipFill>
                    <a:blip r:embed="rId49"/>
                    <a:stretch>
                      <a:fillRect/>
                    </a:stretch>
                  </pic:blipFill>
                  <pic:spPr>
                    <a:xfrm>
                      <a:off x="0" y="0"/>
                      <a:ext cx="5271770" cy="3512185"/>
                    </a:xfrm>
                    <a:prstGeom prst="rect">
                      <a:avLst/>
                    </a:prstGeom>
                    <a:noFill/>
                    <a:ln>
                      <a:noFill/>
                    </a:ln>
                  </pic:spPr>
                </pic:pic>
              </a:graphicData>
            </a:graphic>
          </wp:inline>
        </w:drawing>
      </w:r>
      <w:r>
        <w:drawing>
          <wp:inline distT="0" distB="0" distL="114300" distR="114300">
            <wp:extent cx="5270500" cy="3448050"/>
            <wp:effectExtent l="0" t="0" r="6350" b="0"/>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50"/>
                    <a:stretch>
                      <a:fillRect/>
                    </a:stretch>
                  </pic:blipFill>
                  <pic:spPr>
                    <a:xfrm>
                      <a:off x="0" y="0"/>
                      <a:ext cx="5270500" cy="3448050"/>
                    </a:xfrm>
                    <a:prstGeom prst="rect">
                      <a:avLst/>
                    </a:prstGeom>
                    <a:noFill/>
                    <a:ln>
                      <a:noFill/>
                    </a:ln>
                  </pic:spPr>
                </pic:pic>
              </a:graphicData>
            </a:graphic>
          </wp:inline>
        </w:drawing>
      </w:r>
      <w:r>
        <w:drawing>
          <wp:inline distT="0" distB="0" distL="114300" distR="114300">
            <wp:extent cx="5274310" cy="3413125"/>
            <wp:effectExtent l="0" t="0" r="2540" b="158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1"/>
                    <a:stretch>
                      <a:fillRect/>
                    </a:stretch>
                  </pic:blipFill>
                  <pic:spPr>
                    <a:xfrm>
                      <a:off x="0" y="0"/>
                      <a:ext cx="5274310" cy="3413125"/>
                    </a:xfrm>
                    <a:prstGeom prst="rect">
                      <a:avLst/>
                    </a:prstGeom>
                    <a:noFill/>
                    <a:ln>
                      <a:noFill/>
                    </a:ln>
                  </pic:spPr>
                </pic:pic>
              </a:graphicData>
            </a:graphic>
          </wp:inline>
        </w:drawing>
      </w:r>
      <w:r>
        <w:drawing>
          <wp:inline distT="0" distB="0" distL="114300" distR="114300">
            <wp:extent cx="5272405" cy="3531235"/>
            <wp:effectExtent l="0" t="0" r="4445" b="1206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52"/>
                    <a:stretch>
                      <a:fillRect/>
                    </a:stretch>
                  </pic:blipFill>
                  <pic:spPr>
                    <a:xfrm>
                      <a:off x="0" y="0"/>
                      <a:ext cx="5272405" cy="3531235"/>
                    </a:xfrm>
                    <a:prstGeom prst="rect">
                      <a:avLst/>
                    </a:prstGeom>
                    <a:noFill/>
                    <a:ln>
                      <a:noFill/>
                    </a:ln>
                  </pic:spPr>
                </pic:pic>
              </a:graphicData>
            </a:graphic>
          </wp:inline>
        </w:drawing>
      </w:r>
      <w:r>
        <w:drawing>
          <wp:inline distT="0" distB="0" distL="114300" distR="114300">
            <wp:extent cx="5272405" cy="3488690"/>
            <wp:effectExtent l="0" t="0" r="4445" b="1651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53"/>
                    <a:stretch>
                      <a:fillRect/>
                    </a:stretch>
                  </pic:blipFill>
                  <pic:spPr>
                    <a:xfrm>
                      <a:off x="0" y="0"/>
                      <a:ext cx="5272405" cy="3488690"/>
                    </a:xfrm>
                    <a:prstGeom prst="rect">
                      <a:avLst/>
                    </a:prstGeom>
                    <a:noFill/>
                    <a:ln>
                      <a:noFill/>
                    </a:ln>
                  </pic:spPr>
                </pic:pic>
              </a:graphicData>
            </a:graphic>
          </wp:inline>
        </w:drawing>
      </w:r>
      <w:r>
        <w:drawing>
          <wp:inline distT="0" distB="0" distL="114300" distR="114300">
            <wp:extent cx="5269865" cy="3218815"/>
            <wp:effectExtent l="0" t="0" r="6985" b="635"/>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54"/>
                    <a:stretch>
                      <a:fillRect/>
                    </a:stretch>
                  </pic:blipFill>
                  <pic:spPr>
                    <a:xfrm>
                      <a:off x="0" y="0"/>
                      <a:ext cx="5269865" cy="3218815"/>
                    </a:xfrm>
                    <a:prstGeom prst="rect">
                      <a:avLst/>
                    </a:prstGeom>
                    <a:noFill/>
                    <a:ln>
                      <a:noFill/>
                    </a:ln>
                  </pic:spPr>
                </pic:pic>
              </a:graphicData>
            </a:graphic>
          </wp:inline>
        </w:drawing>
      </w:r>
      <w:r>
        <w:drawing>
          <wp:inline distT="0" distB="0" distL="114300" distR="114300">
            <wp:extent cx="5272405" cy="3481705"/>
            <wp:effectExtent l="0" t="0" r="4445" b="4445"/>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55"/>
                    <a:stretch>
                      <a:fillRect/>
                    </a:stretch>
                  </pic:blipFill>
                  <pic:spPr>
                    <a:xfrm>
                      <a:off x="0" y="0"/>
                      <a:ext cx="5272405" cy="3481705"/>
                    </a:xfrm>
                    <a:prstGeom prst="rect">
                      <a:avLst/>
                    </a:prstGeom>
                    <a:noFill/>
                    <a:ln>
                      <a:noFill/>
                    </a:ln>
                  </pic:spPr>
                </pic:pic>
              </a:graphicData>
            </a:graphic>
          </wp:inline>
        </w:drawing>
      </w:r>
    </w:p>
    <w:p>
      <w:pPr>
        <w:pStyle w:val="2"/>
        <w:bidi w:val="0"/>
        <w:rPr>
          <w:rFonts w:hint="default" w:ascii="Times New Roman" w:hAnsi="Times New Roman" w:eastAsia="宋体" w:cs="Times New Roman"/>
          <w:snapToGrid w:val="0"/>
          <w:color w:val="auto"/>
          <w:sz w:val="32"/>
          <w:szCs w:val="32"/>
          <w:lang w:val="en-US" w:eastAsia="zh-CN"/>
        </w:rPr>
      </w:pPr>
      <w:bookmarkStart w:id="66" w:name="_Toc10840"/>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5核定总量计算说明</w:t>
      </w:r>
      <w:bookmarkEnd w:id="62"/>
      <w:bookmarkEnd w:id="63"/>
      <w:bookmarkEnd w:id="66"/>
    </w:p>
    <w:p>
      <w:pPr>
        <w:keepLines w:val="0"/>
        <w:pageBreakBefore w:val="0"/>
        <w:widowControl/>
        <w:kinsoku/>
        <w:wordWrap/>
        <w:topLinePunct w:val="0"/>
        <w:autoSpaceDE/>
        <w:autoSpaceDN/>
        <w:bidi w:val="0"/>
        <w:adjustRightInd/>
        <w:spacing w:line="360" w:lineRule="auto"/>
        <w:ind w:firstLine="480" w:firstLineChars="200"/>
        <w:jc w:val="left"/>
        <w:textAlignment w:val="auto"/>
        <w:rPr>
          <w:color w:val="auto"/>
          <w:kern w:val="0"/>
          <w:sz w:val="24"/>
        </w:rPr>
      </w:pPr>
      <w:r>
        <w:rPr>
          <w:color w:val="auto"/>
          <w:kern w:val="0"/>
          <w:sz w:val="24"/>
        </w:rPr>
        <w:t>一、大气污染物计算说明</w:t>
      </w:r>
    </w:p>
    <w:p>
      <w:pPr>
        <w:keepLines w:val="0"/>
        <w:pageBreakBefore w:val="0"/>
        <w:kinsoku/>
        <w:wordWrap/>
        <w:topLinePunct w:val="0"/>
        <w:autoSpaceDE/>
        <w:autoSpaceDN/>
        <w:bidi w:val="0"/>
        <w:adjustRightInd/>
        <w:spacing w:line="360" w:lineRule="auto"/>
        <w:ind w:firstLine="480" w:firstLineChars="200"/>
        <w:textAlignment w:val="auto"/>
        <w:rPr>
          <w:color w:val="auto"/>
          <w:sz w:val="24"/>
          <w:szCs w:val="32"/>
        </w:rPr>
      </w:pPr>
      <w:r>
        <w:rPr>
          <w:color w:val="auto"/>
          <w:sz w:val="24"/>
        </w:rPr>
        <w:t>根据《排污许可证申请与核发技术规范 锅炉》（HJ953-2018）中</w:t>
      </w:r>
      <w:r>
        <w:rPr>
          <w:rFonts w:hint="eastAsia"/>
          <w:color w:val="auto"/>
          <w:sz w:val="24"/>
        </w:rPr>
        <w:t>锅炉排污单位应优先采用理论公式</w:t>
      </w:r>
      <w:r>
        <w:rPr>
          <w:rFonts w:hint="eastAsia"/>
          <w:color w:val="auto"/>
          <w:sz w:val="24"/>
          <w:lang w:eastAsia="zh-CN"/>
        </w:rPr>
        <w:t>（</w:t>
      </w:r>
      <w:r>
        <w:rPr>
          <w:rFonts w:hint="eastAsia"/>
          <w:color w:val="auto"/>
          <w:sz w:val="24"/>
        </w:rPr>
        <w:t>以燃料元素分析数据或组分分析数据为依据</w:t>
      </w:r>
      <w:r>
        <w:rPr>
          <w:rFonts w:hint="eastAsia"/>
          <w:color w:val="auto"/>
          <w:sz w:val="24"/>
          <w:lang w:eastAsia="zh-CN"/>
        </w:rPr>
        <w:t>）</w:t>
      </w:r>
      <w:r>
        <w:rPr>
          <w:rFonts w:hint="eastAsia"/>
          <w:color w:val="auto"/>
          <w:sz w:val="24"/>
        </w:rPr>
        <w:t>计算基准烟气量</w:t>
      </w:r>
      <w:r>
        <w:rPr>
          <w:rFonts w:hint="eastAsia"/>
          <w:color w:val="auto"/>
          <w:sz w:val="24"/>
          <w:lang w:eastAsia="zh-CN"/>
        </w:rPr>
        <w:t>，</w:t>
      </w:r>
      <w:r>
        <w:rPr>
          <w:color w:val="auto"/>
          <w:sz w:val="24"/>
        </w:rPr>
        <w:t>因此，</w:t>
      </w:r>
      <w:r>
        <w:rPr>
          <w:color w:val="auto"/>
          <w:sz w:val="24"/>
          <w:szCs w:val="32"/>
        </w:rPr>
        <w:t>a）烟气量按下式计算</w:t>
      </w:r>
    </w:p>
    <w:p>
      <w:pPr>
        <w:spacing w:line="360" w:lineRule="auto"/>
        <w:ind w:firstLine="480" w:firstLineChars="200"/>
        <w:rPr>
          <w:color w:val="auto"/>
          <w:sz w:val="24"/>
          <w:szCs w:val="32"/>
        </w:rPr>
      </w:pPr>
      <w:r>
        <w:rPr>
          <w:color w:val="auto"/>
          <w:sz w:val="24"/>
          <w:szCs w:val="32"/>
        </w:rPr>
        <w:t>理论空气量：有元素</w:t>
      </w:r>
      <w:r>
        <w:rPr>
          <w:rFonts w:hint="eastAsia"/>
          <w:color w:val="auto"/>
          <w:sz w:val="24"/>
          <w:szCs w:val="32"/>
        </w:rPr>
        <w:t>成分</w:t>
      </w:r>
      <w:r>
        <w:rPr>
          <w:color w:val="auto"/>
          <w:sz w:val="24"/>
          <w:szCs w:val="32"/>
        </w:rPr>
        <w:t>分析时理论空气量可用公式计算</w:t>
      </w:r>
      <w:r>
        <w:rPr>
          <w:rFonts w:hint="eastAsia"/>
          <w:color w:val="auto"/>
          <w:sz w:val="24"/>
          <w:szCs w:val="32"/>
        </w:rPr>
        <w:t>：</w:t>
      </w:r>
    </w:p>
    <w:p>
      <w:pPr>
        <w:spacing w:line="440" w:lineRule="exact"/>
        <w:ind w:firstLine="420" w:firstLineChars="200"/>
        <w:rPr>
          <w:color w:val="auto"/>
          <w:sz w:val="24"/>
        </w:rPr>
      </w:pPr>
      <w:r>
        <w:rPr>
          <w:color w:val="auto"/>
        </w:rPr>
        <w:drawing>
          <wp:anchor distT="0" distB="0" distL="114300" distR="114300" simplePos="0" relativeHeight="251667456"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29"/>
                    <a:stretch>
                      <a:fillRect/>
                    </a:stretch>
                  </pic:blipFill>
                  <pic:spPr>
                    <a:xfrm>
                      <a:off x="0" y="0"/>
                      <a:ext cx="3317875" cy="213360"/>
                    </a:xfrm>
                    <a:prstGeom prst="rect">
                      <a:avLst/>
                    </a:prstGeom>
                    <a:noFill/>
                    <a:ln>
                      <a:noFill/>
                    </a:ln>
                  </pic:spPr>
                </pic:pic>
              </a:graphicData>
            </a:graphic>
          </wp:anchor>
        </w:drawing>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式</w:t>
      </w:r>
      <w:r>
        <w:rPr>
          <w:color w:val="auto"/>
          <w:sz w:val="24"/>
        </w:rPr>
        <w:t>中，V</w:t>
      </w:r>
      <w:r>
        <w:rPr>
          <w:rFonts w:hint="eastAsia"/>
          <w:color w:val="auto"/>
          <w:sz w:val="24"/>
          <w:vertAlign w:val="subscript"/>
        </w:rPr>
        <w:t>0</w:t>
      </w:r>
      <w:r>
        <w:rPr>
          <w:color w:val="auto"/>
          <w:sz w:val="24"/>
        </w:rPr>
        <w:t>——</w:t>
      </w:r>
      <w:r>
        <w:rPr>
          <w:rFonts w:hint="eastAsia"/>
          <w:color w:val="auto"/>
          <w:sz w:val="24"/>
        </w:rPr>
        <w:t>理论空气量</w:t>
      </w:r>
      <w:r>
        <w:rPr>
          <w:color w:val="auto"/>
          <w:sz w:val="24"/>
        </w:rPr>
        <w:t>，m</w:t>
      </w:r>
      <w:r>
        <w:rPr>
          <w:color w:val="auto"/>
          <w:sz w:val="24"/>
          <w:vertAlign w:val="superscript"/>
        </w:rPr>
        <w:t>3</w:t>
      </w:r>
      <w:r>
        <w:rPr>
          <w:color w:val="auto"/>
          <w:sz w:val="24"/>
        </w:rPr>
        <w:t>/</w:t>
      </w:r>
      <w:r>
        <w:rPr>
          <w:rFonts w:hint="eastAsia"/>
          <w:color w:val="auto"/>
          <w:sz w:val="24"/>
        </w:rPr>
        <w:t>kg</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ar——收到基</w:t>
      </w:r>
      <w:r>
        <w:rPr>
          <w:rFonts w:hint="eastAsia"/>
          <w:color w:val="auto"/>
          <w:sz w:val="24"/>
        </w:rPr>
        <w:t>碳</w:t>
      </w:r>
      <w:r>
        <w:rPr>
          <w:color w:val="auto"/>
          <w:sz w:val="24"/>
        </w:rPr>
        <w:t>的质量分数，取</w:t>
      </w:r>
      <w:r>
        <w:rPr>
          <w:rFonts w:hint="eastAsia"/>
          <w:color w:val="auto"/>
          <w:sz w:val="24"/>
        </w:rPr>
        <w:t>38.82</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Sar——收到基硫含量，取</w:t>
      </w:r>
      <w:r>
        <w:rPr>
          <w:rFonts w:hint="eastAsia"/>
          <w:color w:val="auto"/>
          <w:sz w:val="24"/>
        </w:rPr>
        <w:t>0.07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Har——收到基氢含量，取</w:t>
      </w:r>
      <w:r>
        <w:rPr>
          <w:rFonts w:hint="eastAsia"/>
          <w:color w:val="auto"/>
          <w:sz w:val="24"/>
        </w:rPr>
        <w:t>4.38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Qar——收到基氧含量，取</w:t>
      </w:r>
      <w:r>
        <w:rPr>
          <w:rFonts w:hint="eastAsia"/>
          <w:color w:val="auto"/>
          <w:sz w:val="24"/>
        </w:rPr>
        <w:t>33.13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干烟气排放量可用公式计算</w:t>
      </w:r>
      <w:r>
        <w:rPr>
          <w:rFonts w:hint="eastAsia"/>
          <w:color w:val="auto"/>
          <w:sz w:val="24"/>
        </w:rPr>
        <w:t>：</w:t>
      </w:r>
    </w:p>
    <w:p>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=1.866×</m:t>
        </m:r>
        <m:f>
          <m:fPr>
            <m:ctrlPr>
              <w:rPr>
                <w:rFonts w:hint="default" w:ascii="Cambria Math" w:hAnsi="Cambria Math" w:cs="Times New Roman"/>
                <w:b w:val="0"/>
                <w:bCs w:val="0"/>
                <w:i w:val="0"/>
                <w:color w:val="auto"/>
                <w:kern w:val="44"/>
                <w:sz w:val="24"/>
                <w:szCs w:val="24"/>
                <w:lang w:val="en-US" w:eastAsia="zh-CN" w:bidi="ar-SA"/>
              </w:rPr>
            </m:ctrlPr>
          </m:fPr>
          <m:num>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+0.375</m:t>
            </m:r>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S</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ctrlPr>
              <w:rPr>
                <w:rFonts w:hint="default" w:ascii="Cambria Math" w:hAnsi="Cambria Math" w:cs="Times New Roman"/>
                <w:b w:val="0"/>
                <w:bCs w:val="0"/>
                <w:i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i w:val="0"/>
                <w:color w:val="auto"/>
                <w:kern w:val="44"/>
                <w:sz w:val="24"/>
                <w:szCs w:val="24"/>
                <w:lang w:val="en-US" w:eastAsia="zh-CN" w:bidi="ar-SA"/>
              </w:rPr>
            </m:ctrlPr>
          </m:den>
        </m:f>
      </m:oMath>
      <w:r>
        <w:rPr>
          <w:rFonts w:hint="default" w:ascii="Cambria Math" w:hAnsi="Cambria Math" w:cs="Times New Roman"/>
          <w:b w:val="0"/>
          <w:bCs w:val="0"/>
          <w:i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=0.79</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+0.8×</m:t>
        </m:r>
        <m:f>
          <m:fPr>
            <m:ctrlPr>
              <w:rPr>
                <w:rFonts w:hint="default" w:ascii="Cambria Math" w:hAnsi="Cambria Math" w:cs="Times New Roman"/>
                <w:b w:val="0"/>
                <w:bCs w:val="0"/>
                <w:color w:val="auto"/>
                <w:kern w:val="44"/>
                <w:sz w:val="24"/>
                <w:szCs w:val="24"/>
                <w:lang w:val="en-US" w:eastAsia="zh-CN" w:bidi="ar-SA"/>
              </w:rPr>
            </m:ctrlPr>
          </m:fPr>
          <m:num>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color w:val="auto"/>
                <w:kern w:val="44"/>
                <w:sz w:val="24"/>
                <w:szCs w:val="24"/>
                <w:lang w:val="en-US" w:eastAsia="zh-CN" w:bidi="ar-SA"/>
              </w:rPr>
            </m:ctrlPr>
          </m:den>
        </m:f>
      </m:oMath>
      <w:r>
        <w:rPr>
          <w:rFonts w:hint="default" w:ascii="Cambria Math" w:hAnsi="Cambria Math" w:cs="Times New Roman"/>
          <w:b w:val="0"/>
          <w:bCs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before="0" w:after="0" w:line="360" w:lineRule="auto"/>
        <w:ind w:left="0" w:firstLine="480" w:firstLineChars="200"/>
        <w:textAlignment w:val="auto"/>
        <w:outlineLvl w:val="9"/>
        <w:rPr>
          <w:rFonts w:hint="default" w:ascii="Times New Roman" w:hAnsi="Times New Roman" w:eastAsia="黑体" w:cs="Times New Roman"/>
          <w:b w:val="0"/>
          <w:bCs w:val="0"/>
          <w:color w:val="auto"/>
          <w:sz w:val="24"/>
          <w:szCs w:val="24"/>
          <w:lang w:val="en-US" w:eastAsia="zh-CN"/>
        </w:rPr>
      </w:pPr>
      <m:oMath>
        <m:sSub>
          <m:sSubPr>
            <m:ctrlPr>
              <w:rPr>
                <w:rFonts w:hint="default" w:ascii="Cambria Math" w:hAnsi="Cambria Math" w:cs="Times New Roman"/>
                <w:b w:val="0"/>
                <w:bCs w:val="0"/>
                <w:i/>
                <w:color w:val="auto"/>
                <w:sz w:val="24"/>
                <w:szCs w:val="24"/>
                <w:lang w:val="en-US"/>
              </w:rPr>
            </m:ctrlPr>
          </m:sSubPr>
          <m:e>
            <m:r>
              <m:rPr>
                <m:nor/>
              </m:rPr>
              <w:rPr>
                <w:rFonts w:hint="default" w:ascii="Times New Roman" w:hAnsi="Times New Roman" w:cs="Times New Roman"/>
                <w:b w:val="0"/>
                <w:bCs w:val="0"/>
                <w:i/>
                <w:color w:val="auto"/>
                <w:sz w:val="24"/>
                <w:szCs w:val="24"/>
                <w:lang w:val="en-US" w:eastAsia="zh-CN"/>
              </w:rPr>
              <m:t>V</m:t>
            </m:r>
            <m:ctrlPr>
              <w:rPr>
                <w:rFonts w:hint="default" w:ascii="Cambria Math" w:hAnsi="Cambria Math" w:cs="Times New Roman"/>
                <w:b w:val="0"/>
                <w:bCs w:val="0"/>
                <w:i/>
                <w:color w:val="auto"/>
                <w:sz w:val="24"/>
                <w:szCs w:val="24"/>
                <w:lang w:val="en-US"/>
              </w:rPr>
            </m:ctrlPr>
          </m:e>
          <m:sub>
            <m:r>
              <m:rPr>
                <m:nor/>
              </m:rPr>
              <w:rPr>
                <w:rFonts w:hint="default" w:ascii="Times New Roman" w:hAnsi="Times New Roman" w:cs="Times New Roman"/>
                <w:b w:val="0"/>
                <w:bCs w:val="0"/>
                <w:i/>
                <w:color w:val="auto"/>
                <w:sz w:val="24"/>
                <w:szCs w:val="24"/>
                <w:lang w:val="en-US" w:eastAsia="zh-CN"/>
              </w:rPr>
              <m:t>g</m:t>
            </m:r>
            <m:ctrlPr>
              <w:rPr>
                <w:rFonts w:hint="default" w:ascii="Cambria Math" w:hAnsi="Cambria Math" w:cs="Times New Roman"/>
                <w:b w:val="0"/>
                <w:bCs w:val="0"/>
                <w:i/>
                <w:color w:val="auto"/>
                <w:sz w:val="24"/>
                <w:szCs w:val="24"/>
                <w:lang w:val="en-US"/>
              </w:rPr>
            </m:ctrlPr>
          </m:sub>
        </m:sSub>
        <m:r>
          <m:rPr>
            <m:nor/>
            <m:sty m:val="p"/>
          </m:rPr>
          <w:rPr>
            <w:rFonts w:hint="default" w:ascii="Times New Roman" w:hAnsi="Times New Roman" w:cs="Times New Roman"/>
            <w:b w:val="0"/>
            <w:bCs w:val="0"/>
            <w:i w:val="0"/>
            <w:color w:val="auto"/>
            <w:sz w:val="24"/>
            <w:szCs w:val="24"/>
            <w:lang w:val="en-US" w:eastAsia="zh-CN"/>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r>
          <m:rPr>
            <m:nor/>
            <m:sty m:val="p"/>
          </m:rPr>
          <w:rPr>
            <w:rFonts w:hint="default" w:ascii="Times New Roman" w:hAnsi="Times New Roman" w:cs="Times New Roman"/>
            <w:b w:val="0"/>
            <w:bCs w:val="0"/>
            <w:i w:val="0"/>
            <w:color w:val="auto"/>
            <w:kern w:val="44"/>
            <w:sz w:val="24"/>
            <w:szCs w:val="24"/>
            <w:lang w:val="en-US" w:bidi="ar-SA"/>
          </w:rPr>
          <m:t>α</m:t>
        </m:r>
        <m:r>
          <m:rPr>
            <m:nor/>
            <m:sty m:val="p"/>
          </m:rPr>
          <w:rPr>
            <w:rFonts w:hint="default" w:ascii="Times New Roman" w:hAnsi="Times New Roman" w:cs="Times New Roman"/>
            <w:b w:val="0"/>
            <w:bCs w:val="0"/>
            <w:i w:val="0"/>
            <w:color w:val="auto"/>
            <w:kern w:val="44"/>
            <w:sz w:val="24"/>
            <w:szCs w:val="24"/>
            <w:lang w:val="en-US" w:eastAsia="zh-CN" w:bidi="ar-SA"/>
          </w:rPr>
          <m:t>−1)</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oMath>
      <w:r>
        <w:rPr>
          <w:rFonts w:hint="default" w:ascii="Cambria Math" w:hAnsi="Cambria Math" w:cs="Times New Roman"/>
          <w:b w:val="0"/>
          <w:bCs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rFonts w:hint="eastAsia"/>
          <w:color w:val="auto"/>
          <w:sz w:val="24"/>
        </w:rPr>
        <w:t>式</w:t>
      </w:r>
      <w:r>
        <w:rPr>
          <w:color w:val="auto"/>
          <w:sz w:val="24"/>
        </w:rPr>
        <w:t>中，V</w:t>
      </w:r>
      <w:r>
        <w:rPr>
          <w:color w:val="auto"/>
          <w:sz w:val="24"/>
          <w:vertAlign w:val="subscript"/>
        </w:rPr>
        <w:t>RO2</w:t>
      </w:r>
      <w:r>
        <w:rPr>
          <w:color w:val="auto"/>
          <w:sz w:val="24"/>
        </w:rPr>
        <w:t>——烟气中二氧化碳（V</w:t>
      </w:r>
      <w:r>
        <w:rPr>
          <w:color w:val="auto"/>
          <w:sz w:val="24"/>
          <w:vertAlign w:val="subscript"/>
        </w:rPr>
        <w:t>CO2</w:t>
      </w:r>
      <w:r>
        <w:rPr>
          <w:color w:val="auto"/>
          <w:sz w:val="24"/>
        </w:rPr>
        <w:t>）和二氧化硫（V</w:t>
      </w:r>
      <w:r>
        <w:rPr>
          <w:color w:val="auto"/>
          <w:sz w:val="24"/>
          <w:vertAlign w:val="subscript"/>
        </w:rPr>
        <w:t>SO2</w:t>
      </w:r>
      <w:r>
        <w:rPr>
          <w:color w:val="auto"/>
          <w:sz w:val="24"/>
        </w:rPr>
        <w:t>）容积之和，</w:t>
      </w:r>
      <w:r>
        <w:rPr>
          <w:rFonts w:hint="eastAsia"/>
          <w:color w:val="auto"/>
          <w:sz w:val="24"/>
          <w:lang w:val="en-US" w:eastAsia="zh-CN"/>
        </w:rPr>
        <w:t>经计算为0.72</w:t>
      </w:r>
      <w:r>
        <w:rPr>
          <w:color w:val="auto"/>
          <w:sz w:val="24"/>
        </w:rPr>
        <w:t>m</w:t>
      </w:r>
      <w:r>
        <w:rPr>
          <w:color w:val="auto"/>
          <w:sz w:val="24"/>
          <w:vertAlign w:val="superscript"/>
        </w:rPr>
        <w:t>3</w:t>
      </w:r>
      <w:r>
        <w:rPr>
          <w:color w:val="auto"/>
          <w:sz w:val="24"/>
        </w:rPr>
        <w:t>/kg；</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Car——收到基碳的质量分数，</w:t>
      </w:r>
      <w:r>
        <w:rPr>
          <w:rFonts w:hint="eastAsia"/>
          <w:color w:val="auto"/>
          <w:sz w:val="24"/>
        </w:rPr>
        <w:t>取38.82</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Sar——收到基硫的质量分数</w:t>
      </w:r>
      <w:r>
        <w:rPr>
          <w:rFonts w:hint="eastAsia"/>
          <w:color w:val="auto"/>
          <w:sz w:val="24"/>
        </w:rPr>
        <w:t>，</w:t>
      </w:r>
      <w:r>
        <w:rPr>
          <w:color w:val="auto"/>
          <w:sz w:val="24"/>
        </w:rPr>
        <w:t>取</w:t>
      </w:r>
      <w:r>
        <w:rPr>
          <w:rFonts w:hint="eastAsia"/>
          <w:color w:val="auto"/>
          <w:sz w:val="24"/>
        </w:rPr>
        <w:t>0.07</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V</w:t>
      </w:r>
      <w:r>
        <w:rPr>
          <w:color w:val="auto"/>
          <w:sz w:val="24"/>
          <w:vertAlign w:val="subscript"/>
        </w:rPr>
        <w:t>N2</w:t>
      </w:r>
      <w:r>
        <w:rPr>
          <w:color w:val="auto"/>
          <w:sz w:val="24"/>
        </w:rPr>
        <w:t>——烟气中氮气量，m</w:t>
      </w:r>
      <w:r>
        <w:rPr>
          <w:color w:val="auto"/>
          <w:sz w:val="24"/>
          <w:vertAlign w:val="superscript"/>
        </w:rPr>
        <w:t>3</w:t>
      </w:r>
      <w:r>
        <w:rPr>
          <w:color w:val="auto"/>
          <w:sz w:val="24"/>
        </w:rPr>
        <w:t>/kg</w:t>
      </w:r>
      <w:r>
        <w:rPr>
          <w:rFonts w:hint="eastAsia"/>
          <w:color w:val="auto"/>
          <w:sz w:val="24"/>
        </w:rPr>
        <w:t>，经计算为2</w:t>
      </w:r>
      <w:r>
        <w:rPr>
          <w:color w:val="auto"/>
          <w:sz w:val="24"/>
        </w:rPr>
        <w:t>.7</w:t>
      </w:r>
      <w:r>
        <w:rPr>
          <w:rFonts w:hint="eastAsia"/>
          <w:color w:val="auto"/>
          <w:sz w:val="24"/>
          <w:lang w:val="en-US" w:eastAsia="zh-CN"/>
        </w:rPr>
        <w:t>8</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Nar——收到基氮的质量分数，</w:t>
      </w:r>
      <w:r>
        <w:rPr>
          <w:rFonts w:hint="eastAsia"/>
          <w:color w:val="auto"/>
          <w:sz w:val="24"/>
        </w:rPr>
        <w:t>取0.27</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V</w:t>
      </w:r>
      <w:r>
        <w:rPr>
          <w:color w:val="auto"/>
          <w:sz w:val="24"/>
          <w:vertAlign w:val="subscript"/>
        </w:rPr>
        <w:t>0</w:t>
      </w:r>
      <w:r>
        <w:rPr>
          <w:color w:val="auto"/>
          <w:sz w:val="24"/>
        </w:rPr>
        <w:t>——理论空气量，m</w:t>
      </w:r>
      <w:r>
        <w:rPr>
          <w:color w:val="auto"/>
          <w:sz w:val="24"/>
          <w:vertAlign w:val="superscript"/>
        </w:rPr>
        <w:t>3</w:t>
      </w:r>
      <w:r>
        <w:rPr>
          <w:color w:val="auto"/>
          <w:sz w:val="24"/>
        </w:rPr>
        <w:t>/kg</w:t>
      </w:r>
      <w:r>
        <w:rPr>
          <w:rFonts w:hint="eastAsia"/>
          <w:color w:val="auto"/>
          <w:sz w:val="24"/>
        </w:rPr>
        <w:t>，经计算为3</w:t>
      </w:r>
      <w:r>
        <w:rPr>
          <w:color w:val="auto"/>
          <w:sz w:val="24"/>
        </w:rPr>
        <w:t>.</w:t>
      </w:r>
      <w:r>
        <w:rPr>
          <w:rFonts w:hint="eastAsia"/>
          <w:color w:val="auto"/>
          <w:sz w:val="24"/>
          <w:lang w:val="en-US" w:eastAsia="zh-CN"/>
        </w:rPr>
        <w:t>51</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Vg——干烟气排放量，m</w:t>
      </w:r>
      <w:r>
        <w:rPr>
          <w:color w:val="auto"/>
          <w:sz w:val="24"/>
          <w:vertAlign w:val="superscript"/>
        </w:rPr>
        <w:t>3</w:t>
      </w:r>
      <w:r>
        <w:rPr>
          <w:color w:val="auto"/>
          <w:sz w:val="24"/>
        </w:rPr>
        <w:t>/kg；</w:t>
      </w:r>
      <w:r>
        <w:rPr>
          <w:rFonts w:hint="eastAsia"/>
          <w:color w:val="auto"/>
          <w:sz w:val="24"/>
          <w:lang w:val="en-US" w:eastAsia="zh-CN"/>
        </w:rPr>
        <w:t>经计算为6.13</w:t>
      </w:r>
      <w:r>
        <w:rPr>
          <w:color w:val="auto"/>
          <w:sz w:val="24"/>
        </w:rPr>
        <w:t>m</w:t>
      </w:r>
      <w:r>
        <w:rPr>
          <w:color w:val="auto"/>
          <w:sz w:val="24"/>
          <w:vertAlign w:val="superscript"/>
        </w:rPr>
        <w:t>3</w:t>
      </w:r>
      <w:r>
        <w:rPr>
          <w:color w:val="auto"/>
          <w:sz w:val="24"/>
        </w:rPr>
        <w:t>/kg；</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α——过量空气系数，燃料燃烧时实际空气供给量与理论空气需要量之比值，燃煤锅炉、燃油锅炉及燃气锅炉的规定过量空气系数分别为1.75、1.2，对应基准氧含量分别为9%、3.5%；本次评价取</w:t>
      </w:r>
      <w:r>
        <w:rPr>
          <w:rFonts w:hint="eastAsia"/>
          <w:color w:val="auto"/>
          <w:sz w:val="24"/>
        </w:rPr>
        <w:t>1.</w:t>
      </w:r>
      <w:r>
        <w:rPr>
          <w:rFonts w:hint="eastAsia"/>
          <w:color w:val="auto"/>
          <w:sz w:val="24"/>
          <w:lang w:val="en-US" w:eastAsia="zh-CN"/>
        </w:rPr>
        <w:t>75</w:t>
      </w:r>
      <w:r>
        <w:rPr>
          <w:rFonts w:hint="eastAsia"/>
          <w:color w:val="auto"/>
          <w:sz w:val="24"/>
        </w:rPr>
        <w:t>。</w:t>
      </w:r>
    </w:p>
    <w:p>
      <w:pPr>
        <w:keepLines w:val="0"/>
        <w:pageBreakBefore w:val="0"/>
        <w:widowControl w:val="0"/>
        <w:tabs>
          <w:tab w:val="left" w:pos="6480"/>
        </w:tabs>
        <w:kinsoku/>
        <w:wordWrap/>
        <w:topLinePunct w:val="0"/>
        <w:autoSpaceDE/>
        <w:autoSpaceDN/>
        <w:bidi w:val="0"/>
        <w:adjustRightInd/>
        <w:spacing w:line="360" w:lineRule="auto"/>
        <w:ind w:firstLine="560"/>
        <w:textAlignment w:val="auto"/>
        <w:rPr>
          <w:color w:val="auto"/>
          <w:sz w:val="24"/>
        </w:rPr>
      </w:pPr>
      <w:r>
        <w:rPr>
          <w:color w:val="auto"/>
          <w:sz w:val="24"/>
        </w:rPr>
        <w:t>本项目锅炉燃料耗量为</w:t>
      </w:r>
      <w:r>
        <w:rPr>
          <w:rFonts w:hint="eastAsia"/>
          <w:color w:val="auto"/>
          <w:sz w:val="24"/>
          <w:lang w:val="en-US" w:eastAsia="zh-CN"/>
        </w:rPr>
        <w:t>2996t/a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18376928</w:t>
      </w:r>
      <w:r>
        <w:rPr>
          <w:color w:val="auto"/>
          <w:sz w:val="24"/>
        </w:rPr>
        <w:t>Nm</w:t>
      </w:r>
      <w:r>
        <w:rPr>
          <w:color w:val="auto"/>
          <w:sz w:val="24"/>
          <w:vertAlign w:val="superscript"/>
        </w:rPr>
        <w:t>3</w:t>
      </w:r>
      <w:r>
        <w:rPr>
          <w:color w:val="auto"/>
          <w:sz w:val="24"/>
        </w:rPr>
        <w:t>。</w:t>
      </w:r>
    </w:p>
    <w:p>
      <w:pPr>
        <w:widowControl/>
        <w:spacing w:line="440" w:lineRule="exact"/>
        <w:ind w:firstLine="480" w:firstLineChars="200"/>
        <w:jc w:val="left"/>
        <w:rPr>
          <w:color w:val="auto"/>
          <w:kern w:val="0"/>
          <w:sz w:val="24"/>
        </w:rPr>
      </w:pPr>
      <w:r>
        <w:rPr>
          <w:color w:val="auto"/>
          <w:kern w:val="0"/>
          <w:sz w:val="24"/>
        </w:rPr>
        <w:t>计算过程：根据《排污许可证申请与核发技术规范锅炉》（HJ953-2018）中固体燃料锅炉的废气污染物（颗粒物、二氧化硫、氮氧化物）年许可排放量计算公式E年许可：</w:t>
      </w:r>
    </w:p>
    <w:p>
      <w:pPr>
        <w:widowControl/>
        <w:spacing w:line="440" w:lineRule="exact"/>
        <w:ind w:firstLine="630" w:firstLineChars="300"/>
        <w:jc w:val="left"/>
        <w:rPr>
          <w:color w:val="auto"/>
          <w:sz w:val="24"/>
        </w:rPr>
      </w:pPr>
      <w:r>
        <w:rPr>
          <w:color w:val="auto"/>
        </w:rPr>
        <w:drawing>
          <wp:anchor distT="0" distB="0" distL="114300" distR="114300" simplePos="0" relativeHeight="251666432" behindDoc="0" locked="0" layoutInCell="1" allowOverlap="1">
            <wp:simplePos x="0" y="0"/>
            <wp:positionH relativeFrom="column">
              <wp:posOffset>1299210</wp:posOffset>
            </wp:positionH>
            <wp:positionV relativeFrom="paragraph">
              <wp:posOffset>33020</wp:posOffset>
            </wp:positionV>
            <wp:extent cx="2583180" cy="471170"/>
            <wp:effectExtent l="0" t="0" r="7620" b="5080"/>
            <wp:wrapTopAndBottom/>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6"/>
                    <a:stretch>
                      <a:fillRect/>
                    </a:stretch>
                  </pic:blipFill>
                  <pic:spPr>
                    <a:xfrm>
                      <a:off x="0" y="0"/>
                      <a:ext cx="2583180" cy="471170"/>
                    </a:xfrm>
                    <a:prstGeom prst="rect">
                      <a:avLst/>
                    </a:prstGeom>
                    <a:noFill/>
                    <a:ln>
                      <a:noFill/>
                    </a:ln>
                  </pic:spPr>
                </pic:pic>
              </a:graphicData>
            </a:graphic>
          </wp:anchor>
        </w:drawing>
      </w:r>
      <w:r>
        <w:rPr>
          <w:color w:val="auto"/>
          <w:kern w:val="0"/>
          <w:sz w:val="24"/>
        </w:rPr>
        <w:t>则E</w:t>
      </w:r>
      <w:r>
        <w:rPr>
          <w:color w:val="auto"/>
          <w:kern w:val="0"/>
          <w:sz w:val="24"/>
          <w:vertAlign w:val="subscript"/>
        </w:rPr>
        <w:t>颗粒物</w:t>
      </w:r>
      <w:r>
        <w:rPr>
          <w:color w:val="auto"/>
          <w:kern w:val="0"/>
          <w:sz w:val="24"/>
        </w:rPr>
        <w:t>=50mg/m</w:t>
      </w:r>
      <w:r>
        <w:rPr>
          <w:color w:val="auto"/>
          <w:kern w:val="0"/>
          <w:sz w:val="24"/>
          <w:vertAlign w:val="superscript"/>
        </w:rPr>
        <w:t>3</w:t>
      </w:r>
      <w:r>
        <w:rPr>
          <w:color w:val="auto"/>
          <w:kern w:val="0"/>
          <w:sz w:val="24"/>
        </w:rPr>
        <w:t>×</w:t>
      </w:r>
      <w:r>
        <w:rPr>
          <w:rFonts w:hint="eastAsia"/>
          <w:color w:val="auto"/>
          <w:sz w:val="24"/>
          <w:lang w:eastAsia="zh-CN"/>
        </w:rPr>
        <w:t>1</w:t>
      </w:r>
      <w:r>
        <w:rPr>
          <w:rFonts w:hint="eastAsia"/>
          <w:color w:val="auto"/>
          <w:sz w:val="24"/>
          <w:lang w:val="en-US" w:eastAsia="zh-CN"/>
        </w:rPr>
        <w:t>8376928</w:t>
      </w:r>
      <w:r>
        <w:rPr>
          <w:color w:val="auto"/>
          <w:kern w:val="0"/>
          <w:sz w:val="24"/>
        </w:rPr>
        <w:t>Nm</w:t>
      </w:r>
      <w:r>
        <w:rPr>
          <w:color w:val="auto"/>
          <w:kern w:val="0"/>
          <w:sz w:val="24"/>
          <w:vertAlign w:val="superscript"/>
        </w:rPr>
        <w:t>3</w:t>
      </w:r>
      <w:r>
        <w:rPr>
          <w:color w:val="auto"/>
          <w:kern w:val="0"/>
          <w:sz w:val="24"/>
        </w:rPr>
        <w:t>×1×10</w:t>
      </w:r>
      <w:r>
        <w:rPr>
          <w:color w:val="auto"/>
          <w:kern w:val="0"/>
          <w:sz w:val="24"/>
          <w:vertAlign w:val="superscript"/>
        </w:rPr>
        <w:t>-</w:t>
      </w:r>
      <w:r>
        <w:rPr>
          <w:rFonts w:hint="eastAsia"/>
          <w:color w:val="auto"/>
          <w:kern w:val="0"/>
          <w:sz w:val="24"/>
          <w:vertAlign w:val="superscript"/>
          <w:lang w:val="en-US" w:eastAsia="zh-CN"/>
        </w:rPr>
        <w:t>9</w:t>
      </w:r>
      <w:r>
        <w:rPr>
          <w:color w:val="auto"/>
          <w:kern w:val="0"/>
          <w:sz w:val="24"/>
        </w:rPr>
        <w:t>=</w:t>
      </w:r>
      <w:r>
        <w:rPr>
          <w:rFonts w:hint="eastAsia"/>
          <w:color w:val="auto"/>
          <w:kern w:val="0"/>
          <w:sz w:val="24"/>
          <w:lang w:val="en-US" w:eastAsia="zh-CN"/>
        </w:rPr>
        <w:t>0.919</w:t>
      </w:r>
      <w:r>
        <w:rPr>
          <w:rFonts w:hint="eastAsia"/>
          <w:color w:val="auto"/>
          <w:kern w:val="0"/>
          <w:sz w:val="24"/>
        </w:rPr>
        <w:t>t</w:t>
      </w:r>
      <w:r>
        <w:rPr>
          <w:color w:val="auto"/>
          <w:kern w:val="0"/>
          <w:sz w:val="24"/>
        </w:rPr>
        <w:t>/a；</w:t>
      </w:r>
    </w:p>
    <w:p>
      <w:pPr>
        <w:widowControl/>
        <w:spacing w:line="440" w:lineRule="exact"/>
        <w:ind w:firstLine="720" w:firstLineChars="300"/>
        <w:jc w:val="left"/>
        <w:rPr>
          <w:color w:val="auto"/>
          <w:sz w:val="24"/>
        </w:rPr>
      </w:pPr>
      <w:r>
        <w:rPr>
          <w:color w:val="auto"/>
          <w:kern w:val="0"/>
          <w:sz w:val="24"/>
        </w:rPr>
        <w:t>E</w:t>
      </w:r>
      <w:r>
        <w:rPr>
          <w:color w:val="auto"/>
          <w:kern w:val="0"/>
          <w:sz w:val="24"/>
          <w:vertAlign w:val="subscript"/>
        </w:rPr>
        <w:t>二氧化硫</w:t>
      </w:r>
      <w:r>
        <w:rPr>
          <w:color w:val="auto"/>
          <w:kern w:val="0"/>
          <w:sz w:val="24"/>
        </w:rPr>
        <w:t>=300mg/m</w:t>
      </w:r>
      <w:r>
        <w:rPr>
          <w:color w:val="auto"/>
          <w:kern w:val="0"/>
          <w:sz w:val="24"/>
          <w:vertAlign w:val="superscript"/>
        </w:rPr>
        <w:t>3</w:t>
      </w:r>
      <w:r>
        <w:rPr>
          <w:color w:val="auto"/>
          <w:kern w:val="0"/>
          <w:sz w:val="24"/>
        </w:rPr>
        <w:t>×</w:t>
      </w:r>
      <w:r>
        <w:rPr>
          <w:rFonts w:hint="eastAsia"/>
          <w:color w:val="auto"/>
          <w:sz w:val="24"/>
          <w:lang w:eastAsia="zh-CN"/>
        </w:rPr>
        <w:t>1</w:t>
      </w:r>
      <w:r>
        <w:rPr>
          <w:rFonts w:hint="eastAsia"/>
          <w:color w:val="auto"/>
          <w:sz w:val="24"/>
          <w:lang w:val="en-US" w:eastAsia="zh-CN"/>
        </w:rPr>
        <w:t>8376928</w:t>
      </w:r>
      <w:r>
        <w:rPr>
          <w:color w:val="auto"/>
          <w:kern w:val="0"/>
          <w:sz w:val="24"/>
        </w:rPr>
        <w:t>Nm</w:t>
      </w:r>
      <w:r>
        <w:rPr>
          <w:color w:val="auto"/>
          <w:kern w:val="0"/>
          <w:sz w:val="24"/>
          <w:vertAlign w:val="superscript"/>
        </w:rPr>
        <w:t>3</w:t>
      </w:r>
      <w:r>
        <w:rPr>
          <w:color w:val="auto"/>
          <w:kern w:val="0"/>
          <w:sz w:val="24"/>
        </w:rPr>
        <w:t>×0.8×10</w:t>
      </w:r>
      <w:r>
        <w:rPr>
          <w:color w:val="auto"/>
          <w:kern w:val="0"/>
          <w:sz w:val="24"/>
          <w:vertAlign w:val="superscript"/>
        </w:rPr>
        <w:t>-</w:t>
      </w:r>
      <w:r>
        <w:rPr>
          <w:rFonts w:hint="eastAsia"/>
          <w:color w:val="auto"/>
          <w:kern w:val="0"/>
          <w:sz w:val="24"/>
          <w:vertAlign w:val="superscript"/>
          <w:lang w:val="en-US" w:eastAsia="zh-CN"/>
        </w:rPr>
        <w:t>9</w:t>
      </w:r>
      <w:r>
        <w:rPr>
          <w:color w:val="auto"/>
          <w:kern w:val="0"/>
          <w:sz w:val="24"/>
        </w:rPr>
        <w:t>=</w:t>
      </w:r>
      <w:r>
        <w:rPr>
          <w:rFonts w:hint="eastAsia"/>
          <w:color w:val="auto"/>
          <w:kern w:val="0"/>
          <w:sz w:val="24"/>
          <w:lang w:val="en-US" w:eastAsia="zh-CN"/>
        </w:rPr>
        <w:t>4.410</w:t>
      </w:r>
      <w:r>
        <w:rPr>
          <w:color w:val="auto"/>
          <w:kern w:val="0"/>
          <w:sz w:val="24"/>
        </w:rPr>
        <w:t>t/a；</w:t>
      </w:r>
    </w:p>
    <w:p>
      <w:pPr>
        <w:widowControl/>
        <w:spacing w:line="440" w:lineRule="exact"/>
        <w:ind w:firstLine="720" w:firstLineChars="300"/>
        <w:jc w:val="left"/>
        <w:rPr>
          <w:color w:val="auto"/>
          <w:kern w:val="0"/>
          <w:sz w:val="24"/>
        </w:rPr>
      </w:pPr>
      <w:r>
        <w:rPr>
          <w:color w:val="auto"/>
          <w:kern w:val="0"/>
          <w:sz w:val="24"/>
        </w:rPr>
        <w:t>E</w:t>
      </w:r>
      <w:r>
        <w:rPr>
          <w:color w:val="auto"/>
          <w:kern w:val="0"/>
          <w:sz w:val="24"/>
          <w:vertAlign w:val="subscript"/>
        </w:rPr>
        <w:t>氮氧化物</w:t>
      </w:r>
      <w:r>
        <w:rPr>
          <w:color w:val="auto"/>
          <w:kern w:val="0"/>
          <w:sz w:val="24"/>
        </w:rPr>
        <w:t>=300mg/m</w:t>
      </w:r>
      <w:r>
        <w:rPr>
          <w:color w:val="auto"/>
          <w:kern w:val="0"/>
          <w:sz w:val="24"/>
          <w:vertAlign w:val="superscript"/>
        </w:rPr>
        <w:t>3</w:t>
      </w:r>
      <w:r>
        <w:rPr>
          <w:color w:val="auto"/>
          <w:kern w:val="0"/>
          <w:sz w:val="24"/>
        </w:rPr>
        <w:t>×</w:t>
      </w:r>
      <w:r>
        <w:rPr>
          <w:rFonts w:hint="eastAsia"/>
          <w:color w:val="auto"/>
          <w:sz w:val="24"/>
          <w:lang w:val="en-US" w:eastAsia="zh-CN"/>
        </w:rPr>
        <w:t>18376928</w:t>
      </w:r>
      <w:r>
        <w:rPr>
          <w:color w:val="auto"/>
          <w:kern w:val="0"/>
          <w:sz w:val="24"/>
        </w:rPr>
        <w:t>Nm</w:t>
      </w:r>
      <w:r>
        <w:rPr>
          <w:color w:val="auto"/>
          <w:kern w:val="0"/>
          <w:sz w:val="24"/>
          <w:vertAlign w:val="superscript"/>
        </w:rPr>
        <w:t>3</w:t>
      </w:r>
      <w:r>
        <w:rPr>
          <w:color w:val="auto"/>
          <w:kern w:val="0"/>
          <w:sz w:val="24"/>
        </w:rPr>
        <w:t>×1×10</w:t>
      </w:r>
      <w:r>
        <w:rPr>
          <w:color w:val="auto"/>
          <w:kern w:val="0"/>
          <w:sz w:val="24"/>
          <w:vertAlign w:val="superscript"/>
        </w:rPr>
        <w:t>-</w:t>
      </w:r>
      <w:r>
        <w:rPr>
          <w:rFonts w:hint="eastAsia"/>
          <w:color w:val="auto"/>
          <w:kern w:val="0"/>
          <w:sz w:val="24"/>
          <w:vertAlign w:val="superscript"/>
          <w:lang w:val="en-US" w:eastAsia="zh-CN"/>
        </w:rPr>
        <w:t>9</w:t>
      </w:r>
      <w:r>
        <w:rPr>
          <w:color w:val="auto"/>
          <w:kern w:val="0"/>
          <w:sz w:val="24"/>
        </w:rPr>
        <w:t>=</w:t>
      </w:r>
      <w:r>
        <w:rPr>
          <w:rFonts w:hint="eastAsia"/>
          <w:color w:val="auto"/>
          <w:kern w:val="0"/>
          <w:sz w:val="24"/>
          <w:lang w:val="en-US" w:eastAsia="zh-CN"/>
        </w:rPr>
        <w:t>5.513</w:t>
      </w:r>
      <w:r>
        <w:rPr>
          <w:rFonts w:hint="eastAsia"/>
          <w:color w:val="auto"/>
          <w:kern w:val="0"/>
          <w:sz w:val="24"/>
        </w:rPr>
        <w:t>t</w:t>
      </w:r>
      <w:r>
        <w:rPr>
          <w:color w:val="auto"/>
          <w:kern w:val="0"/>
          <w:sz w:val="24"/>
        </w:rPr>
        <w:t>/a；</w:t>
      </w:r>
    </w:p>
    <w:p>
      <w:pPr>
        <w:pStyle w:val="113"/>
        <w:rPr>
          <w:b/>
          <w:bCs/>
          <w:color w:val="auto"/>
        </w:rPr>
      </w:pPr>
      <w:r>
        <w:rPr>
          <w:b/>
          <w:bCs/>
          <w:color w:val="auto"/>
        </w:rPr>
        <w:t>表1污染物核定排放量统计表</w:t>
      </w:r>
    </w:p>
    <w:tbl>
      <w:tblPr>
        <w:tblStyle w:val="30"/>
        <w:tblW w:w="704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721"/>
        <w:gridCol w:w="1566"/>
        <w:gridCol w:w="1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882" w:type="dxa"/>
            <w:noWrap w:val="0"/>
            <w:vAlign w:val="center"/>
          </w:tcPr>
          <w:p>
            <w:pPr>
              <w:pStyle w:val="29"/>
              <w:adjustRightInd w:val="0"/>
              <w:spacing w:after="0"/>
              <w:ind w:firstLine="0" w:firstLineChars="0"/>
              <w:jc w:val="center"/>
              <w:rPr>
                <w:color w:val="auto"/>
                <w:sz w:val="21"/>
                <w:szCs w:val="21"/>
              </w:rPr>
            </w:pPr>
            <w:r>
              <w:rPr>
                <w:rFonts w:hAnsi="宋体"/>
                <w:color w:val="auto"/>
                <w:sz w:val="21"/>
                <w:szCs w:val="21"/>
              </w:rPr>
              <w:t>污染物</w:t>
            </w:r>
          </w:p>
        </w:tc>
        <w:tc>
          <w:tcPr>
            <w:tcW w:w="1721" w:type="dxa"/>
            <w:noWrap w:val="0"/>
            <w:vAlign w:val="center"/>
          </w:tcPr>
          <w:p>
            <w:pPr>
              <w:pStyle w:val="29"/>
              <w:adjustRightInd w:val="0"/>
              <w:spacing w:after="0"/>
              <w:ind w:firstLine="0" w:firstLineChars="0"/>
              <w:jc w:val="center"/>
              <w:rPr>
                <w:color w:val="auto"/>
                <w:sz w:val="21"/>
                <w:szCs w:val="21"/>
              </w:rPr>
            </w:pPr>
            <w:r>
              <w:rPr>
                <w:rFonts w:hint="eastAsia" w:hAnsi="宋体"/>
                <w:color w:val="auto"/>
                <w:sz w:val="21"/>
                <w:szCs w:val="21"/>
                <w:lang w:val="en-US" w:eastAsia="zh-CN"/>
              </w:rPr>
              <w:t>颗粒物</w:t>
            </w:r>
            <w:r>
              <w:rPr>
                <w:rFonts w:hAnsi="宋体"/>
                <w:color w:val="auto"/>
                <w:sz w:val="21"/>
                <w:szCs w:val="21"/>
              </w:rPr>
              <w:t>（</w:t>
            </w:r>
            <w:r>
              <w:rPr>
                <w:color w:val="auto"/>
                <w:sz w:val="21"/>
                <w:szCs w:val="21"/>
              </w:rPr>
              <w:t>t/a</w:t>
            </w:r>
            <w:r>
              <w:rPr>
                <w:rFonts w:hAnsi="宋体"/>
                <w:color w:val="auto"/>
                <w:sz w:val="21"/>
                <w:szCs w:val="21"/>
              </w:rPr>
              <w:t>）</w:t>
            </w:r>
          </w:p>
        </w:tc>
        <w:tc>
          <w:tcPr>
            <w:tcW w:w="1566" w:type="dxa"/>
            <w:noWrap w:val="0"/>
            <w:vAlign w:val="center"/>
          </w:tcPr>
          <w:p>
            <w:pPr>
              <w:pStyle w:val="29"/>
              <w:adjustRightInd w:val="0"/>
              <w:spacing w:after="0"/>
              <w:ind w:firstLine="0" w:firstLineChars="0"/>
              <w:jc w:val="center"/>
              <w:rPr>
                <w:color w:val="auto"/>
                <w:sz w:val="21"/>
                <w:szCs w:val="21"/>
              </w:rPr>
            </w:pPr>
            <w:r>
              <w:rPr>
                <w:color w:val="auto"/>
                <w:sz w:val="21"/>
                <w:szCs w:val="21"/>
              </w:rPr>
              <w:t>SO</w:t>
            </w:r>
            <w:r>
              <w:rPr>
                <w:color w:val="auto"/>
                <w:sz w:val="21"/>
                <w:szCs w:val="21"/>
                <w:vertAlign w:val="subscript"/>
              </w:rPr>
              <w:t>2</w:t>
            </w:r>
            <w:r>
              <w:rPr>
                <w:rFonts w:hint="eastAsia"/>
                <w:color w:val="auto"/>
                <w:sz w:val="21"/>
                <w:szCs w:val="21"/>
                <w:vertAlign w:val="subscript"/>
                <w:lang w:eastAsia="zh-CN"/>
              </w:rPr>
              <w:t>(</w:t>
            </w:r>
            <w:r>
              <w:rPr>
                <w:color w:val="auto"/>
                <w:sz w:val="21"/>
                <w:szCs w:val="21"/>
              </w:rPr>
              <w:t>t/a</w:t>
            </w:r>
            <w:r>
              <w:rPr>
                <w:rFonts w:hint="eastAsia"/>
                <w:color w:val="auto"/>
                <w:sz w:val="21"/>
                <w:szCs w:val="21"/>
                <w:lang w:eastAsia="zh-CN"/>
              </w:rPr>
              <w:t>)</w:t>
            </w:r>
          </w:p>
        </w:tc>
        <w:tc>
          <w:tcPr>
            <w:tcW w:w="1880" w:type="dxa"/>
            <w:noWrap w:val="0"/>
            <w:vAlign w:val="center"/>
          </w:tcPr>
          <w:p>
            <w:pPr>
              <w:pStyle w:val="29"/>
              <w:adjustRightInd w:val="0"/>
              <w:spacing w:after="0"/>
              <w:ind w:firstLine="0" w:firstLineChars="0"/>
              <w:jc w:val="center"/>
              <w:rPr>
                <w:color w:val="auto"/>
                <w:sz w:val="21"/>
                <w:szCs w:val="21"/>
              </w:rPr>
            </w:pPr>
            <w:r>
              <w:rPr>
                <w:color w:val="auto"/>
                <w:sz w:val="21"/>
                <w:szCs w:val="21"/>
              </w:rPr>
              <w:t>NO</w:t>
            </w:r>
            <w:r>
              <w:rPr>
                <w:color w:val="auto"/>
                <w:sz w:val="21"/>
                <w:szCs w:val="21"/>
                <w:vertAlign w:val="subscript"/>
              </w:rPr>
              <w:t>X</w:t>
            </w:r>
            <w:r>
              <w:rPr>
                <w:rFonts w:hint="eastAsia"/>
                <w:color w:val="auto"/>
                <w:sz w:val="21"/>
                <w:szCs w:val="21"/>
                <w:vertAlign w:val="subscript"/>
                <w:lang w:eastAsia="zh-CN"/>
              </w:rPr>
              <w:t>(</w:t>
            </w:r>
            <w:r>
              <w:rPr>
                <w:color w:val="auto"/>
                <w:sz w:val="21"/>
                <w:szCs w:val="21"/>
              </w:rPr>
              <w:t>t/a</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882" w:type="dxa"/>
            <w:noWrap w:val="0"/>
            <w:vAlign w:val="center"/>
          </w:tcPr>
          <w:p>
            <w:pPr>
              <w:pStyle w:val="29"/>
              <w:adjustRightInd w:val="0"/>
              <w:spacing w:after="0"/>
              <w:ind w:firstLine="0" w:firstLineChars="0"/>
              <w:jc w:val="center"/>
              <w:rPr>
                <w:color w:val="auto"/>
                <w:sz w:val="21"/>
                <w:szCs w:val="21"/>
              </w:rPr>
            </w:pPr>
            <w:r>
              <w:rPr>
                <w:rFonts w:hAnsi="宋体"/>
                <w:color w:val="auto"/>
                <w:sz w:val="21"/>
                <w:szCs w:val="21"/>
              </w:rPr>
              <w:t>核</w:t>
            </w:r>
            <w:r>
              <w:rPr>
                <w:rFonts w:hint="eastAsia" w:hAnsi="宋体"/>
                <w:color w:val="auto"/>
                <w:sz w:val="21"/>
                <w:szCs w:val="21"/>
                <w:lang w:eastAsia="zh-CN"/>
              </w:rPr>
              <w:t>定</w:t>
            </w:r>
            <w:r>
              <w:rPr>
                <w:rFonts w:hAnsi="宋体"/>
                <w:color w:val="auto"/>
                <w:sz w:val="21"/>
                <w:szCs w:val="21"/>
              </w:rPr>
              <w:t>排放量</w:t>
            </w:r>
          </w:p>
        </w:tc>
        <w:tc>
          <w:tcPr>
            <w:tcW w:w="1721" w:type="dxa"/>
            <w:noWrap w:val="0"/>
            <w:vAlign w:val="center"/>
          </w:tcPr>
          <w:p>
            <w:pPr>
              <w:pStyle w:val="29"/>
              <w:adjustRightIn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0.919</w:t>
            </w:r>
          </w:p>
        </w:tc>
        <w:tc>
          <w:tcPr>
            <w:tcW w:w="1566" w:type="dxa"/>
            <w:noWrap w:val="0"/>
            <w:vAlign w:val="center"/>
          </w:tcPr>
          <w:p>
            <w:pPr>
              <w:pStyle w:val="29"/>
              <w:adjustRightIn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4.410</w:t>
            </w:r>
          </w:p>
        </w:tc>
        <w:tc>
          <w:tcPr>
            <w:tcW w:w="1880" w:type="dxa"/>
            <w:noWrap w:val="0"/>
            <w:vAlign w:val="center"/>
          </w:tcPr>
          <w:p>
            <w:pPr>
              <w:pStyle w:val="29"/>
              <w:adjustRightIn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5.513</w:t>
            </w:r>
          </w:p>
        </w:tc>
      </w:tr>
    </w:tbl>
    <w:p>
      <w:pPr>
        <w:pStyle w:val="2"/>
        <w:rPr>
          <w:color w:val="auto"/>
        </w:rPr>
      </w:pPr>
    </w:p>
    <w:p>
      <w:pPr>
        <w:pStyle w:val="2"/>
        <w:rPr>
          <w:rFonts w:hint="eastAsia"/>
          <w:color w:val="auto"/>
        </w:rPr>
      </w:pPr>
    </w:p>
    <w:p>
      <w:pPr>
        <w:rPr>
          <w:color w:val="auto"/>
        </w:rPr>
      </w:pP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3</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3"/>
      </w:rPr>
    </w:pPr>
    <w:r>
      <w:fldChar w:fldCharType="begin"/>
    </w:r>
    <w:r>
      <w:rPr>
        <w:rStyle w:val="33"/>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pPr>
      <w:pStyle w:val="2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505283"/>
    <w:multiLevelType w:val="singleLevel"/>
    <w:tmpl w:val="A7505283"/>
    <w:lvl w:ilvl="0" w:tentative="0">
      <w:start w:val="2"/>
      <w:numFmt w:val="chineseCounting"/>
      <w:suff w:val="nothing"/>
      <w:lvlText w:val="%1、"/>
      <w:lvlJc w:val="left"/>
      <w:rPr>
        <w:rFonts w:hint="eastAsia"/>
      </w:rPr>
    </w:lvl>
  </w:abstractNum>
  <w:abstractNum w:abstractNumId="1">
    <w:nsid w:val="FF7A7B5E"/>
    <w:multiLevelType w:val="singleLevel"/>
    <w:tmpl w:val="FF7A7B5E"/>
    <w:lvl w:ilvl="0" w:tentative="0">
      <w:start w:val="3"/>
      <w:numFmt w:val="decimal"/>
      <w:suff w:val="nothing"/>
      <w:lvlText w:val="%1、"/>
      <w:lvlJc w:val="left"/>
    </w:lvl>
  </w:abstractNum>
  <w:abstractNum w:abstractNumId="2">
    <w:nsid w:val="1E6FB12D"/>
    <w:multiLevelType w:val="singleLevel"/>
    <w:tmpl w:val="1E6FB12D"/>
    <w:lvl w:ilvl="0" w:tentative="0">
      <w:start w:val="6"/>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ED6"/>
    <w:rsid w:val="00003983"/>
    <w:rsid w:val="00003FEC"/>
    <w:rsid w:val="00005B27"/>
    <w:rsid w:val="000060B3"/>
    <w:rsid w:val="000109C0"/>
    <w:rsid w:val="00015610"/>
    <w:rsid w:val="00016F3B"/>
    <w:rsid w:val="00022708"/>
    <w:rsid w:val="00022AEF"/>
    <w:rsid w:val="00024889"/>
    <w:rsid w:val="000269A2"/>
    <w:rsid w:val="00027801"/>
    <w:rsid w:val="0003423D"/>
    <w:rsid w:val="000365F0"/>
    <w:rsid w:val="000401CF"/>
    <w:rsid w:val="0004062F"/>
    <w:rsid w:val="00041629"/>
    <w:rsid w:val="00042B88"/>
    <w:rsid w:val="00043017"/>
    <w:rsid w:val="0004364B"/>
    <w:rsid w:val="000449E0"/>
    <w:rsid w:val="00044DCD"/>
    <w:rsid w:val="000466DB"/>
    <w:rsid w:val="0004670E"/>
    <w:rsid w:val="000537C5"/>
    <w:rsid w:val="00061399"/>
    <w:rsid w:val="00061B1F"/>
    <w:rsid w:val="00063676"/>
    <w:rsid w:val="00063F9D"/>
    <w:rsid w:val="00065557"/>
    <w:rsid w:val="000656C0"/>
    <w:rsid w:val="00067431"/>
    <w:rsid w:val="0007095E"/>
    <w:rsid w:val="000733C4"/>
    <w:rsid w:val="00074783"/>
    <w:rsid w:val="0008070B"/>
    <w:rsid w:val="000810AC"/>
    <w:rsid w:val="00081A02"/>
    <w:rsid w:val="00082231"/>
    <w:rsid w:val="0008293A"/>
    <w:rsid w:val="00082C14"/>
    <w:rsid w:val="00083CAD"/>
    <w:rsid w:val="00092D38"/>
    <w:rsid w:val="0009377B"/>
    <w:rsid w:val="00095D74"/>
    <w:rsid w:val="00097D82"/>
    <w:rsid w:val="000A1879"/>
    <w:rsid w:val="000A20C9"/>
    <w:rsid w:val="000A21FE"/>
    <w:rsid w:val="000A2A20"/>
    <w:rsid w:val="000A2E4F"/>
    <w:rsid w:val="000A3985"/>
    <w:rsid w:val="000B02A5"/>
    <w:rsid w:val="000B058F"/>
    <w:rsid w:val="000B1063"/>
    <w:rsid w:val="000B1BFA"/>
    <w:rsid w:val="000B31C5"/>
    <w:rsid w:val="000B382A"/>
    <w:rsid w:val="000B3C67"/>
    <w:rsid w:val="000B3C79"/>
    <w:rsid w:val="000B3F3A"/>
    <w:rsid w:val="000B4467"/>
    <w:rsid w:val="000B4DB9"/>
    <w:rsid w:val="000B4DD2"/>
    <w:rsid w:val="000C09AC"/>
    <w:rsid w:val="000C10AD"/>
    <w:rsid w:val="000C40A9"/>
    <w:rsid w:val="000C601F"/>
    <w:rsid w:val="000C767F"/>
    <w:rsid w:val="000D417D"/>
    <w:rsid w:val="000D5A44"/>
    <w:rsid w:val="000D7457"/>
    <w:rsid w:val="000E06A2"/>
    <w:rsid w:val="000E0FC1"/>
    <w:rsid w:val="000E344D"/>
    <w:rsid w:val="000E3ED2"/>
    <w:rsid w:val="000E5116"/>
    <w:rsid w:val="000E60AC"/>
    <w:rsid w:val="000E6E61"/>
    <w:rsid w:val="000E75F8"/>
    <w:rsid w:val="000E7EA9"/>
    <w:rsid w:val="000F03F9"/>
    <w:rsid w:val="000F11CA"/>
    <w:rsid w:val="000F6D4E"/>
    <w:rsid w:val="00100A7B"/>
    <w:rsid w:val="00100A9F"/>
    <w:rsid w:val="00100CC2"/>
    <w:rsid w:val="00101932"/>
    <w:rsid w:val="00102529"/>
    <w:rsid w:val="001055CF"/>
    <w:rsid w:val="00105812"/>
    <w:rsid w:val="00105E86"/>
    <w:rsid w:val="00106AFE"/>
    <w:rsid w:val="00107724"/>
    <w:rsid w:val="00110145"/>
    <w:rsid w:val="00112DA2"/>
    <w:rsid w:val="0011633C"/>
    <w:rsid w:val="001208B8"/>
    <w:rsid w:val="00123C30"/>
    <w:rsid w:val="0012486B"/>
    <w:rsid w:val="00125220"/>
    <w:rsid w:val="001307BB"/>
    <w:rsid w:val="001312C2"/>
    <w:rsid w:val="001316E5"/>
    <w:rsid w:val="00131F42"/>
    <w:rsid w:val="0013327C"/>
    <w:rsid w:val="001335C5"/>
    <w:rsid w:val="0013460F"/>
    <w:rsid w:val="00135184"/>
    <w:rsid w:val="001357B9"/>
    <w:rsid w:val="001357F1"/>
    <w:rsid w:val="00140E2E"/>
    <w:rsid w:val="00140FA8"/>
    <w:rsid w:val="00142FEB"/>
    <w:rsid w:val="00143A2D"/>
    <w:rsid w:val="00145975"/>
    <w:rsid w:val="00145A41"/>
    <w:rsid w:val="00146072"/>
    <w:rsid w:val="00151675"/>
    <w:rsid w:val="001532BD"/>
    <w:rsid w:val="00153E3A"/>
    <w:rsid w:val="001562D6"/>
    <w:rsid w:val="001566F1"/>
    <w:rsid w:val="00157435"/>
    <w:rsid w:val="00157AB5"/>
    <w:rsid w:val="00160180"/>
    <w:rsid w:val="00163DA0"/>
    <w:rsid w:val="00165003"/>
    <w:rsid w:val="00165E8A"/>
    <w:rsid w:val="00166099"/>
    <w:rsid w:val="00167BA0"/>
    <w:rsid w:val="00171370"/>
    <w:rsid w:val="001726EF"/>
    <w:rsid w:val="0017504D"/>
    <w:rsid w:val="0017671A"/>
    <w:rsid w:val="00177422"/>
    <w:rsid w:val="00184590"/>
    <w:rsid w:val="001870D1"/>
    <w:rsid w:val="0018781E"/>
    <w:rsid w:val="00191E11"/>
    <w:rsid w:val="0019262D"/>
    <w:rsid w:val="001A1830"/>
    <w:rsid w:val="001A1B35"/>
    <w:rsid w:val="001A22E4"/>
    <w:rsid w:val="001A48A2"/>
    <w:rsid w:val="001A6F61"/>
    <w:rsid w:val="001B72B8"/>
    <w:rsid w:val="001C0C62"/>
    <w:rsid w:val="001C2852"/>
    <w:rsid w:val="001C69B3"/>
    <w:rsid w:val="001D2A79"/>
    <w:rsid w:val="001D5595"/>
    <w:rsid w:val="001D7874"/>
    <w:rsid w:val="001D7F22"/>
    <w:rsid w:val="001E702C"/>
    <w:rsid w:val="001F0F17"/>
    <w:rsid w:val="001F31B8"/>
    <w:rsid w:val="001F3347"/>
    <w:rsid w:val="001F61DB"/>
    <w:rsid w:val="001F69E4"/>
    <w:rsid w:val="001F76E2"/>
    <w:rsid w:val="00201019"/>
    <w:rsid w:val="002018D6"/>
    <w:rsid w:val="002020BF"/>
    <w:rsid w:val="002027A3"/>
    <w:rsid w:val="002038DF"/>
    <w:rsid w:val="00206EA2"/>
    <w:rsid w:val="00210B5E"/>
    <w:rsid w:val="002119DF"/>
    <w:rsid w:val="00211D75"/>
    <w:rsid w:val="002125B4"/>
    <w:rsid w:val="00212EA4"/>
    <w:rsid w:val="002133F0"/>
    <w:rsid w:val="00213892"/>
    <w:rsid w:val="002145A1"/>
    <w:rsid w:val="002155B8"/>
    <w:rsid w:val="00215795"/>
    <w:rsid w:val="0021674E"/>
    <w:rsid w:val="00217EFA"/>
    <w:rsid w:val="0022091F"/>
    <w:rsid w:val="00220B81"/>
    <w:rsid w:val="00221C8F"/>
    <w:rsid w:val="00221CA8"/>
    <w:rsid w:val="00224839"/>
    <w:rsid w:val="002249B2"/>
    <w:rsid w:val="0022610D"/>
    <w:rsid w:val="00226574"/>
    <w:rsid w:val="00226C8A"/>
    <w:rsid w:val="002278EC"/>
    <w:rsid w:val="0023280E"/>
    <w:rsid w:val="00234433"/>
    <w:rsid w:val="00235517"/>
    <w:rsid w:val="002377D1"/>
    <w:rsid w:val="00241276"/>
    <w:rsid w:val="0024159C"/>
    <w:rsid w:val="002426F1"/>
    <w:rsid w:val="00242AE1"/>
    <w:rsid w:val="0024545C"/>
    <w:rsid w:val="002455FA"/>
    <w:rsid w:val="00245F63"/>
    <w:rsid w:val="00247104"/>
    <w:rsid w:val="00247449"/>
    <w:rsid w:val="002506BC"/>
    <w:rsid w:val="00254345"/>
    <w:rsid w:val="00264300"/>
    <w:rsid w:val="00264557"/>
    <w:rsid w:val="00266033"/>
    <w:rsid w:val="00267687"/>
    <w:rsid w:val="00267AAC"/>
    <w:rsid w:val="00270EBC"/>
    <w:rsid w:val="002729A3"/>
    <w:rsid w:val="002744A8"/>
    <w:rsid w:val="002805AB"/>
    <w:rsid w:val="00283373"/>
    <w:rsid w:val="00284204"/>
    <w:rsid w:val="0028472A"/>
    <w:rsid w:val="002849F9"/>
    <w:rsid w:val="00284FD0"/>
    <w:rsid w:val="00285B2F"/>
    <w:rsid w:val="002867E1"/>
    <w:rsid w:val="00286833"/>
    <w:rsid w:val="00291773"/>
    <w:rsid w:val="0029294D"/>
    <w:rsid w:val="0029340D"/>
    <w:rsid w:val="002A168C"/>
    <w:rsid w:val="002A29EF"/>
    <w:rsid w:val="002A3DC7"/>
    <w:rsid w:val="002B14F1"/>
    <w:rsid w:val="002B451B"/>
    <w:rsid w:val="002B45AC"/>
    <w:rsid w:val="002B4753"/>
    <w:rsid w:val="002B49E2"/>
    <w:rsid w:val="002B5A38"/>
    <w:rsid w:val="002B7B00"/>
    <w:rsid w:val="002B7C44"/>
    <w:rsid w:val="002B7D37"/>
    <w:rsid w:val="002C2B17"/>
    <w:rsid w:val="002C3266"/>
    <w:rsid w:val="002C370B"/>
    <w:rsid w:val="002C65F9"/>
    <w:rsid w:val="002D290B"/>
    <w:rsid w:val="002D35B4"/>
    <w:rsid w:val="002D3740"/>
    <w:rsid w:val="002D3DD0"/>
    <w:rsid w:val="002D4DE8"/>
    <w:rsid w:val="002D65BF"/>
    <w:rsid w:val="002E1883"/>
    <w:rsid w:val="002E1F3A"/>
    <w:rsid w:val="002E25C9"/>
    <w:rsid w:val="002E298A"/>
    <w:rsid w:val="002E6427"/>
    <w:rsid w:val="002E7B65"/>
    <w:rsid w:val="002F0BE0"/>
    <w:rsid w:val="002F1767"/>
    <w:rsid w:val="002F3635"/>
    <w:rsid w:val="00301978"/>
    <w:rsid w:val="0030332C"/>
    <w:rsid w:val="00304037"/>
    <w:rsid w:val="003051C2"/>
    <w:rsid w:val="00305A04"/>
    <w:rsid w:val="0030633F"/>
    <w:rsid w:val="00307EA4"/>
    <w:rsid w:val="00307F78"/>
    <w:rsid w:val="003113AD"/>
    <w:rsid w:val="00312296"/>
    <w:rsid w:val="00314F0E"/>
    <w:rsid w:val="003171E3"/>
    <w:rsid w:val="00321413"/>
    <w:rsid w:val="00321D8E"/>
    <w:rsid w:val="00322491"/>
    <w:rsid w:val="00323794"/>
    <w:rsid w:val="00323E8E"/>
    <w:rsid w:val="00324E8A"/>
    <w:rsid w:val="00325390"/>
    <w:rsid w:val="00325928"/>
    <w:rsid w:val="00332863"/>
    <w:rsid w:val="00334104"/>
    <w:rsid w:val="00334F94"/>
    <w:rsid w:val="00336186"/>
    <w:rsid w:val="0033684D"/>
    <w:rsid w:val="00337B42"/>
    <w:rsid w:val="00340B22"/>
    <w:rsid w:val="00340D9D"/>
    <w:rsid w:val="00341B42"/>
    <w:rsid w:val="0034348F"/>
    <w:rsid w:val="00343B2E"/>
    <w:rsid w:val="00347894"/>
    <w:rsid w:val="0035030B"/>
    <w:rsid w:val="00352BA6"/>
    <w:rsid w:val="00353259"/>
    <w:rsid w:val="003545FC"/>
    <w:rsid w:val="003561B1"/>
    <w:rsid w:val="00356653"/>
    <w:rsid w:val="00356C24"/>
    <w:rsid w:val="003571A6"/>
    <w:rsid w:val="0035743F"/>
    <w:rsid w:val="00357BE2"/>
    <w:rsid w:val="003602D4"/>
    <w:rsid w:val="0036170C"/>
    <w:rsid w:val="00361D0A"/>
    <w:rsid w:val="00363660"/>
    <w:rsid w:val="00364EC0"/>
    <w:rsid w:val="00366E0F"/>
    <w:rsid w:val="00372216"/>
    <w:rsid w:val="00381A72"/>
    <w:rsid w:val="003836A3"/>
    <w:rsid w:val="00384676"/>
    <w:rsid w:val="00386B92"/>
    <w:rsid w:val="00390857"/>
    <w:rsid w:val="00392DAD"/>
    <w:rsid w:val="00393275"/>
    <w:rsid w:val="003A10EF"/>
    <w:rsid w:val="003A1725"/>
    <w:rsid w:val="003A1AB1"/>
    <w:rsid w:val="003A3B0B"/>
    <w:rsid w:val="003A4BF3"/>
    <w:rsid w:val="003A5906"/>
    <w:rsid w:val="003B16D9"/>
    <w:rsid w:val="003B25E9"/>
    <w:rsid w:val="003B420D"/>
    <w:rsid w:val="003C0665"/>
    <w:rsid w:val="003C456E"/>
    <w:rsid w:val="003C5307"/>
    <w:rsid w:val="003C6C16"/>
    <w:rsid w:val="003D07C4"/>
    <w:rsid w:val="003D2A9C"/>
    <w:rsid w:val="003D794D"/>
    <w:rsid w:val="003E04D9"/>
    <w:rsid w:val="003E1209"/>
    <w:rsid w:val="003E1A4D"/>
    <w:rsid w:val="003E3058"/>
    <w:rsid w:val="003E4956"/>
    <w:rsid w:val="003E5071"/>
    <w:rsid w:val="003E76A9"/>
    <w:rsid w:val="003F0425"/>
    <w:rsid w:val="003F0809"/>
    <w:rsid w:val="003F4345"/>
    <w:rsid w:val="003F6A8C"/>
    <w:rsid w:val="003F755C"/>
    <w:rsid w:val="00401756"/>
    <w:rsid w:val="00404613"/>
    <w:rsid w:val="004052EA"/>
    <w:rsid w:val="00406F01"/>
    <w:rsid w:val="00412E99"/>
    <w:rsid w:val="0041419C"/>
    <w:rsid w:val="00414AD8"/>
    <w:rsid w:val="00416572"/>
    <w:rsid w:val="00416703"/>
    <w:rsid w:val="00416D50"/>
    <w:rsid w:val="00416FD5"/>
    <w:rsid w:val="00417772"/>
    <w:rsid w:val="00417B2D"/>
    <w:rsid w:val="00417CB1"/>
    <w:rsid w:val="00417D6E"/>
    <w:rsid w:val="00420715"/>
    <w:rsid w:val="00420DA8"/>
    <w:rsid w:val="00420E6A"/>
    <w:rsid w:val="004230A2"/>
    <w:rsid w:val="00425A9E"/>
    <w:rsid w:val="004260A8"/>
    <w:rsid w:val="00426B51"/>
    <w:rsid w:val="00426D6B"/>
    <w:rsid w:val="004304C3"/>
    <w:rsid w:val="00430F13"/>
    <w:rsid w:val="00431E6C"/>
    <w:rsid w:val="00432B58"/>
    <w:rsid w:val="00433CE7"/>
    <w:rsid w:val="004377E3"/>
    <w:rsid w:val="00441D1D"/>
    <w:rsid w:val="00452738"/>
    <w:rsid w:val="004527E4"/>
    <w:rsid w:val="00454387"/>
    <w:rsid w:val="00454F9D"/>
    <w:rsid w:val="00455832"/>
    <w:rsid w:val="00455B71"/>
    <w:rsid w:val="00456091"/>
    <w:rsid w:val="004566A0"/>
    <w:rsid w:val="00464961"/>
    <w:rsid w:val="00465D1B"/>
    <w:rsid w:val="00466321"/>
    <w:rsid w:val="00467036"/>
    <w:rsid w:val="00467068"/>
    <w:rsid w:val="004760A0"/>
    <w:rsid w:val="004773B4"/>
    <w:rsid w:val="00480006"/>
    <w:rsid w:val="004800AE"/>
    <w:rsid w:val="00480C98"/>
    <w:rsid w:val="00481476"/>
    <w:rsid w:val="00484B9B"/>
    <w:rsid w:val="00484C47"/>
    <w:rsid w:val="004855F6"/>
    <w:rsid w:val="0048661E"/>
    <w:rsid w:val="00493A59"/>
    <w:rsid w:val="00494670"/>
    <w:rsid w:val="004953DF"/>
    <w:rsid w:val="00497258"/>
    <w:rsid w:val="00497E87"/>
    <w:rsid w:val="004A3823"/>
    <w:rsid w:val="004A4CB9"/>
    <w:rsid w:val="004A4D3C"/>
    <w:rsid w:val="004A565B"/>
    <w:rsid w:val="004A6B1C"/>
    <w:rsid w:val="004B3D76"/>
    <w:rsid w:val="004B41F4"/>
    <w:rsid w:val="004B53D7"/>
    <w:rsid w:val="004B56BF"/>
    <w:rsid w:val="004C3674"/>
    <w:rsid w:val="004C39BE"/>
    <w:rsid w:val="004D524B"/>
    <w:rsid w:val="004E08F0"/>
    <w:rsid w:val="004E39CD"/>
    <w:rsid w:val="004E44EC"/>
    <w:rsid w:val="004E680C"/>
    <w:rsid w:val="004E6946"/>
    <w:rsid w:val="004E7C06"/>
    <w:rsid w:val="004F1AD8"/>
    <w:rsid w:val="004F2CBA"/>
    <w:rsid w:val="004F6382"/>
    <w:rsid w:val="004F6D7F"/>
    <w:rsid w:val="0050164D"/>
    <w:rsid w:val="005039CB"/>
    <w:rsid w:val="00504A67"/>
    <w:rsid w:val="0050558F"/>
    <w:rsid w:val="00506286"/>
    <w:rsid w:val="005104F5"/>
    <w:rsid w:val="00510813"/>
    <w:rsid w:val="00510A06"/>
    <w:rsid w:val="0051107B"/>
    <w:rsid w:val="00511990"/>
    <w:rsid w:val="00511DE0"/>
    <w:rsid w:val="00514870"/>
    <w:rsid w:val="00514B9B"/>
    <w:rsid w:val="00517F02"/>
    <w:rsid w:val="0052226A"/>
    <w:rsid w:val="00522F2B"/>
    <w:rsid w:val="005230ED"/>
    <w:rsid w:val="00523EF9"/>
    <w:rsid w:val="00524303"/>
    <w:rsid w:val="005258A2"/>
    <w:rsid w:val="0053554D"/>
    <w:rsid w:val="0053585A"/>
    <w:rsid w:val="005364FB"/>
    <w:rsid w:val="00537304"/>
    <w:rsid w:val="005376C0"/>
    <w:rsid w:val="00540129"/>
    <w:rsid w:val="005401AE"/>
    <w:rsid w:val="00542125"/>
    <w:rsid w:val="00542E07"/>
    <w:rsid w:val="00545028"/>
    <w:rsid w:val="00545424"/>
    <w:rsid w:val="00545C1A"/>
    <w:rsid w:val="00547ADB"/>
    <w:rsid w:val="00554A7B"/>
    <w:rsid w:val="00555591"/>
    <w:rsid w:val="0055572C"/>
    <w:rsid w:val="0056106A"/>
    <w:rsid w:val="00561671"/>
    <w:rsid w:val="00563A07"/>
    <w:rsid w:val="00564A2D"/>
    <w:rsid w:val="005709EC"/>
    <w:rsid w:val="005720AE"/>
    <w:rsid w:val="00572C53"/>
    <w:rsid w:val="005741DF"/>
    <w:rsid w:val="00576002"/>
    <w:rsid w:val="005836C7"/>
    <w:rsid w:val="005841C9"/>
    <w:rsid w:val="0058554B"/>
    <w:rsid w:val="0058555C"/>
    <w:rsid w:val="00586BB5"/>
    <w:rsid w:val="00594D77"/>
    <w:rsid w:val="005969E4"/>
    <w:rsid w:val="00597F37"/>
    <w:rsid w:val="005A06B7"/>
    <w:rsid w:val="005A1759"/>
    <w:rsid w:val="005A1F50"/>
    <w:rsid w:val="005A271C"/>
    <w:rsid w:val="005A2EB7"/>
    <w:rsid w:val="005A68A7"/>
    <w:rsid w:val="005A6A27"/>
    <w:rsid w:val="005A7264"/>
    <w:rsid w:val="005A7A09"/>
    <w:rsid w:val="005B13F3"/>
    <w:rsid w:val="005B1BC4"/>
    <w:rsid w:val="005B1F05"/>
    <w:rsid w:val="005B4B22"/>
    <w:rsid w:val="005C507D"/>
    <w:rsid w:val="005C5848"/>
    <w:rsid w:val="005D36AB"/>
    <w:rsid w:val="005D73F2"/>
    <w:rsid w:val="005D7D76"/>
    <w:rsid w:val="005E36EE"/>
    <w:rsid w:val="005E7970"/>
    <w:rsid w:val="005F10BA"/>
    <w:rsid w:val="005F3471"/>
    <w:rsid w:val="005F4369"/>
    <w:rsid w:val="005F58BA"/>
    <w:rsid w:val="006035E8"/>
    <w:rsid w:val="00603668"/>
    <w:rsid w:val="00603C25"/>
    <w:rsid w:val="00605351"/>
    <w:rsid w:val="00610626"/>
    <w:rsid w:val="00617CC3"/>
    <w:rsid w:val="00617D82"/>
    <w:rsid w:val="006218A4"/>
    <w:rsid w:val="00621F6E"/>
    <w:rsid w:val="00625BA6"/>
    <w:rsid w:val="00627C7A"/>
    <w:rsid w:val="006306C5"/>
    <w:rsid w:val="00631071"/>
    <w:rsid w:val="0063421F"/>
    <w:rsid w:val="006353C3"/>
    <w:rsid w:val="00635FD6"/>
    <w:rsid w:val="0063680A"/>
    <w:rsid w:val="00636B9E"/>
    <w:rsid w:val="006370F0"/>
    <w:rsid w:val="006377A6"/>
    <w:rsid w:val="00637A3D"/>
    <w:rsid w:val="006411EF"/>
    <w:rsid w:val="00646788"/>
    <w:rsid w:val="00657049"/>
    <w:rsid w:val="00657387"/>
    <w:rsid w:val="00660A01"/>
    <w:rsid w:val="00660DC9"/>
    <w:rsid w:val="00662E31"/>
    <w:rsid w:val="00666352"/>
    <w:rsid w:val="0067017C"/>
    <w:rsid w:val="0067275E"/>
    <w:rsid w:val="00673668"/>
    <w:rsid w:val="006748B8"/>
    <w:rsid w:val="00677127"/>
    <w:rsid w:val="006775C3"/>
    <w:rsid w:val="00681884"/>
    <w:rsid w:val="006818F0"/>
    <w:rsid w:val="0068234A"/>
    <w:rsid w:val="00683D98"/>
    <w:rsid w:val="00683EF6"/>
    <w:rsid w:val="00687AA9"/>
    <w:rsid w:val="00690050"/>
    <w:rsid w:val="00691E0C"/>
    <w:rsid w:val="0069290A"/>
    <w:rsid w:val="0069775A"/>
    <w:rsid w:val="00697813"/>
    <w:rsid w:val="006A1745"/>
    <w:rsid w:val="006A2167"/>
    <w:rsid w:val="006A3EE8"/>
    <w:rsid w:val="006A6130"/>
    <w:rsid w:val="006A6EA1"/>
    <w:rsid w:val="006A72BF"/>
    <w:rsid w:val="006A7E9B"/>
    <w:rsid w:val="006B03F2"/>
    <w:rsid w:val="006B05DD"/>
    <w:rsid w:val="006B1F09"/>
    <w:rsid w:val="006B315C"/>
    <w:rsid w:val="006B37DC"/>
    <w:rsid w:val="006B4F68"/>
    <w:rsid w:val="006B749C"/>
    <w:rsid w:val="006C0592"/>
    <w:rsid w:val="006C272E"/>
    <w:rsid w:val="006C3096"/>
    <w:rsid w:val="006C37F0"/>
    <w:rsid w:val="006C5479"/>
    <w:rsid w:val="006C552A"/>
    <w:rsid w:val="006C5A36"/>
    <w:rsid w:val="006C7714"/>
    <w:rsid w:val="006D047F"/>
    <w:rsid w:val="006D13B5"/>
    <w:rsid w:val="006D3ED0"/>
    <w:rsid w:val="006D42BF"/>
    <w:rsid w:val="006D52E7"/>
    <w:rsid w:val="006D5D5D"/>
    <w:rsid w:val="006E12FF"/>
    <w:rsid w:val="006E5EDF"/>
    <w:rsid w:val="006E607E"/>
    <w:rsid w:val="006E6C24"/>
    <w:rsid w:val="006F415C"/>
    <w:rsid w:val="006F4B24"/>
    <w:rsid w:val="006F50B5"/>
    <w:rsid w:val="006F5F2C"/>
    <w:rsid w:val="006F6127"/>
    <w:rsid w:val="006F626D"/>
    <w:rsid w:val="00703CBA"/>
    <w:rsid w:val="007065AD"/>
    <w:rsid w:val="00706C5D"/>
    <w:rsid w:val="00706F82"/>
    <w:rsid w:val="007147D2"/>
    <w:rsid w:val="00715DAA"/>
    <w:rsid w:val="00716970"/>
    <w:rsid w:val="00716D53"/>
    <w:rsid w:val="0071762F"/>
    <w:rsid w:val="00727D1B"/>
    <w:rsid w:val="0073074A"/>
    <w:rsid w:val="00732922"/>
    <w:rsid w:val="00736093"/>
    <w:rsid w:val="00736F44"/>
    <w:rsid w:val="00742E8D"/>
    <w:rsid w:val="0074440F"/>
    <w:rsid w:val="00744579"/>
    <w:rsid w:val="00745132"/>
    <w:rsid w:val="007454F4"/>
    <w:rsid w:val="00745A2A"/>
    <w:rsid w:val="00747593"/>
    <w:rsid w:val="0075162E"/>
    <w:rsid w:val="0075307D"/>
    <w:rsid w:val="00754034"/>
    <w:rsid w:val="00755FBF"/>
    <w:rsid w:val="00756556"/>
    <w:rsid w:val="007618C4"/>
    <w:rsid w:val="007625AA"/>
    <w:rsid w:val="0076283B"/>
    <w:rsid w:val="00767980"/>
    <w:rsid w:val="00770B19"/>
    <w:rsid w:val="0077378A"/>
    <w:rsid w:val="0077463F"/>
    <w:rsid w:val="00776820"/>
    <w:rsid w:val="007836EA"/>
    <w:rsid w:val="00784CDA"/>
    <w:rsid w:val="0078709B"/>
    <w:rsid w:val="007906C4"/>
    <w:rsid w:val="007906DE"/>
    <w:rsid w:val="00792493"/>
    <w:rsid w:val="007940EA"/>
    <w:rsid w:val="007967E8"/>
    <w:rsid w:val="00796E0E"/>
    <w:rsid w:val="007A0637"/>
    <w:rsid w:val="007A2170"/>
    <w:rsid w:val="007A22BF"/>
    <w:rsid w:val="007A3323"/>
    <w:rsid w:val="007A7A6D"/>
    <w:rsid w:val="007B0365"/>
    <w:rsid w:val="007B109B"/>
    <w:rsid w:val="007B6482"/>
    <w:rsid w:val="007B6CE1"/>
    <w:rsid w:val="007B72B8"/>
    <w:rsid w:val="007B796C"/>
    <w:rsid w:val="007B7A58"/>
    <w:rsid w:val="007C193C"/>
    <w:rsid w:val="007C21B5"/>
    <w:rsid w:val="007C2451"/>
    <w:rsid w:val="007C5005"/>
    <w:rsid w:val="007C63AC"/>
    <w:rsid w:val="007D279F"/>
    <w:rsid w:val="007D5800"/>
    <w:rsid w:val="007E05F7"/>
    <w:rsid w:val="007E1D91"/>
    <w:rsid w:val="007E285B"/>
    <w:rsid w:val="007E2C29"/>
    <w:rsid w:val="007E4446"/>
    <w:rsid w:val="007E4ACD"/>
    <w:rsid w:val="007E4BD2"/>
    <w:rsid w:val="007E678F"/>
    <w:rsid w:val="007F704A"/>
    <w:rsid w:val="007F747B"/>
    <w:rsid w:val="00800283"/>
    <w:rsid w:val="00801393"/>
    <w:rsid w:val="00802F88"/>
    <w:rsid w:val="00803714"/>
    <w:rsid w:val="0080590F"/>
    <w:rsid w:val="00812731"/>
    <w:rsid w:val="0081293E"/>
    <w:rsid w:val="00815465"/>
    <w:rsid w:val="00815DBC"/>
    <w:rsid w:val="00816784"/>
    <w:rsid w:val="00817E9A"/>
    <w:rsid w:val="00820AF7"/>
    <w:rsid w:val="00823575"/>
    <w:rsid w:val="00825B6E"/>
    <w:rsid w:val="0082627B"/>
    <w:rsid w:val="008306BD"/>
    <w:rsid w:val="008307E9"/>
    <w:rsid w:val="00831A80"/>
    <w:rsid w:val="00833743"/>
    <w:rsid w:val="008340A4"/>
    <w:rsid w:val="00836BD6"/>
    <w:rsid w:val="00837AF6"/>
    <w:rsid w:val="00837FD2"/>
    <w:rsid w:val="00841F27"/>
    <w:rsid w:val="00842CAB"/>
    <w:rsid w:val="00847973"/>
    <w:rsid w:val="00850CB3"/>
    <w:rsid w:val="0085109A"/>
    <w:rsid w:val="0085164F"/>
    <w:rsid w:val="00856B46"/>
    <w:rsid w:val="008570D8"/>
    <w:rsid w:val="00864E06"/>
    <w:rsid w:val="0086638B"/>
    <w:rsid w:val="0087135F"/>
    <w:rsid w:val="00872D94"/>
    <w:rsid w:val="00873448"/>
    <w:rsid w:val="00876ED8"/>
    <w:rsid w:val="00877501"/>
    <w:rsid w:val="0087799D"/>
    <w:rsid w:val="00880364"/>
    <w:rsid w:val="008879A5"/>
    <w:rsid w:val="00890462"/>
    <w:rsid w:val="00891592"/>
    <w:rsid w:val="00891E9E"/>
    <w:rsid w:val="00895A45"/>
    <w:rsid w:val="00897BE2"/>
    <w:rsid w:val="008A2F68"/>
    <w:rsid w:val="008A73AF"/>
    <w:rsid w:val="008A79A6"/>
    <w:rsid w:val="008B3F0B"/>
    <w:rsid w:val="008B4FA6"/>
    <w:rsid w:val="008B5282"/>
    <w:rsid w:val="008B71A9"/>
    <w:rsid w:val="008B7C17"/>
    <w:rsid w:val="008C0CDC"/>
    <w:rsid w:val="008C2D01"/>
    <w:rsid w:val="008C40E6"/>
    <w:rsid w:val="008C5C74"/>
    <w:rsid w:val="008D00B0"/>
    <w:rsid w:val="008D0F7A"/>
    <w:rsid w:val="008D62FE"/>
    <w:rsid w:val="008D68E4"/>
    <w:rsid w:val="008E02A7"/>
    <w:rsid w:val="008E0506"/>
    <w:rsid w:val="008E0CFF"/>
    <w:rsid w:val="008E4E07"/>
    <w:rsid w:val="008E5D6B"/>
    <w:rsid w:val="008E76F0"/>
    <w:rsid w:val="008F15FE"/>
    <w:rsid w:val="008F1F6D"/>
    <w:rsid w:val="008F2C67"/>
    <w:rsid w:val="008F2D29"/>
    <w:rsid w:val="008F423B"/>
    <w:rsid w:val="008F5187"/>
    <w:rsid w:val="008F60D8"/>
    <w:rsid w:val="008F6F6F"/>
    <w:rsid w:val="00902727"/>
    <w:rsid w:val="00902CC5"/>
    <w:rsid w:val="00903048"/>
    <w:rsid w:val="0090312B"/>
    <w:rsid w:val="00903359"/>
    <w:rsid w:val="00905EE8"/>
    <w:rsid w:val="00906522"/>
    <w:rsid w:val="009070F9"/>
    <w:rsid w:val="00907E1B"/>
    <w:rsid w:val="009104FE"/>
    <w:rsid w:val="00911E1F"/>
    <w:rsid w:val="009120B4"/>
    <w:rsid w:val="009151EA"/>
    <w:rsid w:val="0091736D"/>
    <w:rsid w:val="0092112D"/>
    <w:rsid w:val="00922FE1"/>
    <w:rsid w:val="0092398F"/>
    <w:rsid w:val="0092572C"/>
    <w:rsid w:val="00926B44"/>
    <w:rsid w:val="00926DC0"/>
    <w:rsid w:val="00927953"/>
    <w:rsid w:val="00930356"/>
    <w:rsid w:val="0093037A"/>
    <w:rsid w:val="009305B8"/>
    <w:rsid w:val="009320F6"/>
    <w:rsid w:val="00932DA7"/>
    <w:rsid w:val="00937F77"/>
    <w:rsid w:val="0094154D"/>
    <w:rsid w:val="0094464F"/>
    <w:rsid w:val="0094751C"/>
    <w:rsid w:val="00947D1B"/>
    <w:rsid w:val="00950246"/>
    <w:rsid w:val="0095155F"/>
    <w:rsid w:val="009519A4"/>
    <w:rsid w:val="00951A6B"/>
    <w:rsid w:val="00954429"/>
    <w:rsid w:val="009563CE"/>
    <w:rsid w:val="009573C6"/>
    <w:rsid w:val="00964038"/>
    <w:rsid w:val="009661BB"/>
    <w:rsid w:val="0096698C"/>
    <w:rsid w:val="00970C2A"/>
    <w:rsid w:val="0097171F"/>
    <w:rsid w:val="00976328"/>
    <w:rsid w:val="0097680D"/>
    <w:rsid w:val="00976B93"/>
    <w:rsid w:val="00982438"/>
    <w:rsid w:val="00982D24"/>
    <w:rsid w:val="00983E6A"/>
    <w:rsid w:val="0098404C"/>
    <w:rsid w:val="00985283"/>
    <w:rsid w:val="00985A70"/>
    <w:rsid w:val="009873A4"/>
    <w:rsid w:val="009878BD"/>
    <w:rsid w:val="009933F0"/>
    <w:rsid w:val="009954D7"/>
    <w:rsid w:val="00995992"/>
    <w:rsid w:val="009A03E5"/>
    <w:rsid w:val="009A0F3B"/>
    <w:rsid w:val="009A1BB4"/>
    <w:rsid w:val="009A234E"/>
    <w:rsid w:val="009A2628"/>
    <w:rsid w:val="009A2D8F"/>
    <w:rsid w:val="009A3200"/>
    <w:rsid w:val="009A362D"/>
    <w:rsid w:val="009A4186"/>
    <w:rsid w:val="009A7E1C"/>
    <w:rsid w:val="009B0897"/>
    <w:rsid w:val="009B09E8"/>
    <w:rsid w:val="009B14B8"/>
    <w:rsid w:val="009B2C51"/>
    <w:rsid w:val="009B7130"/>
    <w:rsid w:val="009B7BD9"/>
    <w:rsid w:val="009C2C5A"/>
    <w:rsid w:val="009C7DD5"/>
    <w:rsid w:val="009D0C3E"/>
    <w:rsid w:val="009D7A81"/>
    <w:rsid w:val="009E227D"/>
    <w:rsid w:val="009E294C"/>
    <w:rsid w:val="009E4E51"/>
    <w:rsid w:val="009E5019"/>
    <w:rsid w:val="009E5259"/>
    <w:rsid w:val="009E5B08"/>
    <w:rsid w:val="009F0A8B"/>
    <w:rsid w:val="009F2CF0"/>
    <w:rsid w:val="009F4C3F"/>
    <w:rsid w:val="009F4C7F"/>
    <w:rsid w:val="00A04F1B"/>
    <w:rsid w:val="00A0501B"/>
    <w:rsid w:val="00A06A93"/>
    <w:rsid w:val="00A14947"/>
    <w:rsid w:val="00A1649B"/>
    <w:rsid w:val="00A16E95"/>
    <w:rsid w:val="00A204C1"/>
    <w:rsid w:val="00A23133"/>
    <w:rsid w:val="00A24319"/>
    <w:rsid w:val="00A26A02"/>
    <w:rsid w:val="00A32A83"/>
    <w:rsid w:val="00A3572B"/>
    <w:rsid w:val="00A367CF"/>
    <w:rsid w:val="00A368DB"/>
    <w:rsid w:val="00A36969"/>
    <w:rsid w:val="00A377D5"/>
    <w:rsid w:val="00A423AA"/>
    <w:rsid w:val="00A42851"/>
    <w:rsid w:val="00A4613F"/>
    <w:rsid w:val="00A46256"/>
    <w:rsid w:val="00A469E4"/>
    <w:rsid w:val="00A50969"/>
    <w:rsid w:val="00A53EC6"/>
    <w:rsid w:val="00A55C0F"/>
    <w:rsid w:val="00A575D7"/>
    <w:rsid w:val="00A64234"/>
    <w:rsid w:val="00A64DD9"/>
    <w:rsid w:val="00A65167"/>
    <w:rsid w:val="00A70D18"/>
    <w:rsid w:val="00A72685"/>
    <w:rsid w:val="00A74BCF"/>
    <w:rsid w:val="00A764EE"/>
    <w:rsid w:val="00A827C1"/>
    <w:rsid w:val="00A8326C"/>
    <w:rsid w:val="00A83A96"/>
    <w:rsid w:val="00A8460F"/>
    <w:rsid w:val="00A862C2"/>
    <w:rsid w:val="00A8713F"/>
    <w:rsid w:val="00A90BA1"/>
    <w:rsid w:val="00A92590"/>
    <w:rsid w:val="00A96F12"/>
    <w:rsid w:val="00A973CA"/>
    <w:rsid w:val="00A97A9A"/>
    <w:rsid w:val="00AA0671"/>
    <w:rsid w:val="00AA2531"/>
    <w:rsid w:val="00AA407E"/>
    <w:rsid w:val="00AA4862"/>
    <w:rsid w:val="00AB1E09"/>
    <w:rsid w:val="00AB2EA5"/>
    <w:rsid w:val="00AB5330"/>
    <w:rsid w:val="00AB71AD"/>
    <w:rsid w:val="00AB7747"/>
    <w:rsid w:val="00AB7F5B"/>
    <w:rsid w:val="00AC09E0"/>
    <w:rsid w:val="00AC14CE"/>
    <w:rsid w:val="00AC1A77"/>
    <w:rsid w:val="00AC223E"/>
    <w:rsid w:val="00AC2A56"/>
    <w:rsid w:val="00AC6B80"/>
    <w:rsid w:val="00AD055E"/>
    <w:rsid w:val="00AD163D"/>
    <w:rsid w:val="00AD32ED"/>
    <w:rsid w:val="00AD4524"/>
    <w:rsid w:val="00AD47A7"/>
    <w:rsid w:val="00AD644E"/>
    <w:rsid w:val="00AD7127"/>
    <w:rsid w:val="00AE0CA8"/>
    <w:rsid w:val="00AE1109"/>
    <w:rsid w:val="00AE40EB"/>
    <w:rsid w:val="00AE436C"/>
    <w:rsid w:val="00AE6559"/>
    <w:rsid w:val="00AF0CBF"/>
    <w:rsid w:val="00AF257F"/>
    <w:rsid w:val="00AF33CF"/>
    <w:rsid w:val="00AF4D50"/>
    <w:rsid w:val="00AF5AB6"/>
    <w:rsid w:val="00AF6179"/>
    <w:rsid w:val="00B05557"/>
    <w:rsid w:val="00B05662"/>
    <w:rsid w:val="00B109B8"/>
    <w:rsid w:val="00B11139"/>
    <w:rsid w:val="00B1295A"/>
    <w:rsid w:val="00B14C28"/>
    <w:rsid w:val="00B20A45"/>
    <w:rsid w:val="00B22661"/>
    <w:rsid w:val="00B22C3F"/>
    <w:rsid w:val="00B22C5C"/>
    <w:rsid w:val="00B23CA3"/>
    <w:rsid w:val="00B24F30"/>
    <w:rsid w:val="00B25000"/>
    <w:rsid w:val="00B312C0"/>
    <w:rsid w:val="00B31ABF"/>
    <w:rsid w:val="00B31C60"/>
    <w:rsid w:val="00B32B68"/>
    <w:rsid w:val="00B33BE3"/>
    <w:rsid w:val="00B35BCE"/>
    <w:rsid w:val="00B36820"/>
    <w:rsid w:val="00B36E79"/>
    <w:rsid w:val="00B37953"/>
    <w:rsid w:val="00B40BFE"/>
    <w:rsid w:val="00B40D12"/>
    <w:rsid w:val="00B44B08"/>
    <w:rsid w:val="00B464AF"/>
    <w:rsid w:val="00B5039E"/>
    <w:rsid w:val="00B51494"/>
    <w:rsid w:val="00B53841"/>
    <w:rsid w:val="00B53B5D"/>
    <w:rsid w:val="00B548AA"/>
    <w:rsid w:val="00B56E31"/>
    <w:rsid w:val="00B601A5"/>
    <w:rsid w:val="00B6055E"/>
    <w:rsid w:val="00B611BC"/>
    <w:rsid w:val="00B6317D"/>
    <w:rsid w:val="00B639D1"/>
    <w:rsid w:val="00B65144"/>
    <w:rsid w:val="00B74138"/>
    <w:rsid w:val="00B74C36"/>
    <w:rsid w:val="00B7723F"/>
    <w:rsid w:val="00B80534"/>
    <w:rsid w:val="00B8433C"/>
    <w:rsid w:val="00B85DA5"/>
    <w:rsid w:val="00B862A5"/>
    <w:rsid w:val="00B87491"/>
    <w:rsid w:val="00B9058F"/>
    <w:rsid w:val="00B93F98"/>
    <w:rsid w:val="00B942D2"/>
    <w:rsid w:val="00B947DB"/>
    <w:rsid w:val="00B96260"/>
    <w:rsid w:val="00BA29E9"/>
    <w:rsid w:val="00BA7142"/>
    <w:rsid w:val="00BB237C"/>
    <w:rsid w:val="00BB41A3"/>
    <w:rsid w:val="00BC18BC"/>
    <w:rsid w:val="00BC32DC"/>
    <w:rsid w:val="00BC35B6"/>
    <w:rsid w:val="00BC4368"/>
    <w:rsid w:val="00BD08E6"/>
    <w:rsid w:val="00BD0C0A"/>
    <w:rsid w:val="00BD1058"/>
    <w:rsid w:val="00BD1271"/>
    <w:rsid w:val="00BD1B51"/>
    <w:rsid w:val="00BD4596"/>
    <w:rsid w:val="00BD522A"/>
    <w:rsid w:val="00BE139E"/>
    <w:rsid w:val="00BE1405"/>
    <w:rsid w:val="00BE16F8"/>
    <w:rsid w:val="00BE312D"/>
    <w:rsid w:val="00BE3FC2"/>
    <w:rsid w:val="00BF1C20"/>
    <w:rsid w:val="00BF2FA9"/>
    <w:rsid w:val="00BF4692"/>
    <w:rsid w:val="00BF4FF2"/>
    <w:rsid w:val="00C00338"/>
    <w:rsid w:val="00C0313E"/>
    <w:rsid w:val="00C04A2F"/>
    <w:rsid w:val="00C100A4"/>
    <w:rsid w:val="00C10578"/>
    <w:rsid w:val="00C10E65"/>
    <w:rsid w:val="00C135BC"/>
    <w:rsid w:val="00C15788"/>
    <w:rsid w:val="00C15C95"/>
    <w:rsid w:val="00C16BC3"/>
    <w:rsid w:val="00C16EA6"/>
    <w:rsid w:val="00C205EC"/>
    <w:rsid w:val="00C239DC"/>
    <w:rsid w:val="00C255ED"/>
    <w:rsid w:val="00C2596A"/>
    <w:rsid w:val="00C26A86"/>
    <w:rsid w:val="00C27537"/>
    <w:rsid w:val="00C31444"/>
    <w:rsid w:val="00C328FE"/>
    <w:rsid w:val="00C33507"/>
    <w:rsid w:val="00C35AB5"/>
    <w:rsid w:val="00C42DC8"/>
    <w:rsid w:val="00C4409D"/>
    <w:rsid w:val="00C44E72"/>
    <w:rsid w:val="00C45A06"/>
    <w:rsid w:val="00C47E5B"/>
    <w:rsid w:val="00C50387"/>
    <w:rsid w:val="00C50C0A"/>
    <w:rsid w:val="00C5289A"/>
    <w:rsid w:val="00C52E09"/>
    <w:rsid w:val="00C60CF7"/>
    <w:rsid w:val="00C61548"/>
    <w:rsid w:val="00C61D5C"/>
    <w:rsid w:val="00C61E4B"/>
    <w:rsid w:val="00C64BFF"/>
    <w:rsid w:val="00C70435"/>
    <w:rsid w:val="00C704E9"/>
    <w:rsid w:val="00C708AB"/>
    <w:rsid w:val="00C71CB7"/>
    <w:rsid w:val="00C73FD8"/>
    <w:rsid w:val="00C746AE"/>
    <w:rsid w:val="00C752FD"/>
    <w:rsid w:val="00C75979"/>
    <w:rsid w:val="00C75BD0"/>
    <w:rsid w:val="00C762D0"/>
    <w:rsid w:val="00C763C9"/>
    <w:rsid w:val="00C80057"/>
    <w:rsid w:val="00C82232"/>
    <w:rsid w:val="00C82913"/>
    <w:rsid w:val="00C867D4"/>
    <w:rsid w:val="00C972B1"/>
    <w:rsid w:val="00C975EF"/>
    <w:rsid w:val="00CA2CCE"/>
    <w:rsid w:val="00CA3599"/>
    <w:rsid w:val="00CA43FD"/>
    <w:rsid w:val="00CA4EB3"/>
    <w:rsid w:val="00CA597E"/>
    <w:rsid w:val="00CA71A9"/>
    <w:rsid w:val="00CA7691"/>
    <w:rsid w:val="00CA7EF8"/>
    <w:rsid w:val="00CC44BF"/>
    <w:rsid w:val="00CC489B"/>
    <w:rsid w:val="00CD03CD"/>
    <w:rsid w:val="00CD2BCD"/>
    <w:rsid w:val="00CD357C"/>
    <w:rsid w:val="00CD3A4C"/>
    <w:rsid w:val="00CD4285"/>
    <w:rsid w:val="00CD5B01"/>
    <w:rsid w:val="00CE10E9"/>
    <w:rsid w:val="00CE2576"/>
    <w:rsid w:val="00CE2910"/>
    <w:rsid w:val="00CE5393"/>
    <w:rsid w:val="00CE5859"/>
    <w:rsid w:val="00CE634A"/>
    <w:rsid w:val="00CF2173"/>
    <w:rsid w:val="00CF26BB"/>
    <w:rsid w:val="00CF3356"/>
    <w:rsid w:val="00CF36BE"/>
    <w:rsid w:val="00CF6000"/>
    <w:rsid w:val="00CF76DE"/>
    <w:rsid w:val="00D003F3"/>
    <w:rsid w:val="00D02529"/>
    <w:rsid w:val="00D0364F"/>
    <w:rsid w:val="00D03CEA"/>
    <w:rsid w:val="00D067AF"/>
    <w:rsid w:val="00D06834"/>
    <w:rsid w:val="00D07B75"/>
    <w:rsid w:val="00D132F1"/>
    <w:rsid w:val="00D14044"/>
    <w:rsid w:val="00D16326"/>
    <w:rsid w:val="00D20014"/>
    <w:rsid w:val="00D2265F"/>
    <w:rsid w:val="00D246B0"/>
    <w:rsid w:val="00D25407"/>
    <w:rsid w:val="00D27F98"/>
    <w:rsid w:val="00D308ED"/>
    <w:rsid w:val="00D33B2E"/>
    <w:rsid w:val="00D33E20"/>
    <w:rsid w:val="00D34711"/>
    <w:rsid w:val="00D368D0"/>
    <w:rsid w:val="00D36D86"/>
    <w:rsid w:val="00D379E6"/>
    <w:rsid w:val="00D41033"/>
    <w:rsid w:val="00D428AA"/>
    <w:rsid w:val="00D43CAA"/>
    <w:rsid w:val="00D503C6"/>
    <w:rsid w:val="00D50A34"/>
    <w:rsid w:val="00D514DE"/>
    <w:rsid w:val="00D53698"/>
    <w:rsid w:val="00D53A07"/>
    <w:rsid w:val="00D53EFA"/>
    <w:rsid w:val="00D55D83"/>
    <w:rsid w:val="00D64165"/>
    <w:rsid w:val="00D65F9A"/>
    <w:rsid w:val="00D66E3B"/>
    <w:rsid w:val="00D700A2"/>
    <w:rsid w:val="00D74C0A"/>
    <w:rsid w:val="00D77A1D"/>
    <w:rsid w:val="00D814C1"/>
    <w:rsid w:val="00D83D1B"/>
    <w:rsid w:val="00D8527A"/>
    <w:rsid w:val="00D87FC7"/>
    <w:rsid w:val="00D92EC1"/>
    <w:rsid w:val="00D931EE"/>
    <w:rsid w:val="00D939F5"/>
    <w:rsid w:val="00D942C0"/>
    <w:rsid w:val="00D94A7C"/>
    <w:rsid w:val="00D95896"/>
    <w:rsid w:val="00DA046B"/>
    <w:rsid w:val="00DA4110"/>
    <w:rsid w:val="00DA5541"/>
    <w:rsid w:val="00DB1061"/>
    <w:rsid w:val="00DB2983"/>
    <w:rsid w:val="00DB7BA0"/>
    <w:rsid w:val="00DC1257"/>
    <w:rsid w:val="00DC1E20"/>
    <w:rsid w:val="00DC3DC0"/>
    <w:rsid w:val="00DC5B2B"/>
    <w:rsid w:val="00DD17A9"/>
    <w:rsid w:val="00DD3035"/>
    <w:rsid w:val="00DD318D"/>
    <w:rsid w:val="00DD6A77"/>
    <w:rsid w:val="00DD6DF0"/>
    <w:rsid w:val="00DE322E"/>
    <w:rsid w:val="00DF217A"/>
    <w:rsid w:val="00DF2E12"/>
    <w:rsid w:val="00DF514A"/>
    <w:rsid w:val="00DF6690"/>
    <w:rsid w:val="00DF6804"/>
    <w:rsid w:val="00E001C1"/>
    <w:rsid w:val="00E019E2"/>
    <w:rsid w:val="00E022C9"/>
    <w:rsid w:val="00E02A33"/>
    <w:rsid w:val="00E0358D"/>
    <w:rsid w:val="00E04323"/>
    <w:rsid w:val="00E05F90"/>
    <w:rsid w:val="00E06D66"/>
    <w:rsid w:val="00E070A2"/>
    <w:rsid w:val="00E14089"/>
    <w:rsid w:val="00E14915"/>
    <w:rsid w:val="00E20BEF"/>
    <w:rsid w:val="00E211AC"/>
    <w:rsid w:val="00E23E10"/>
    <w:rsid w:val="00E24CD4"/>
    <w:rsid w:val="00E2656A"/>
    <w:rsid w:val="00E27C13"/>
    <w:rsid w:val="00E341BA"/>
    <w:rsid w:val="00E412D0"/>
    <w:rsid w:val="00E4190F"/>
    <w:rsid w:val="00E43DA2"/>
    <w:rsid w:val="00E44422"/>
    <w:rsid w:val="00E5016B"/>
    <w:rsid w:val="00E56322"/>
    <w:rsid w:val="00E60982"/>
    <w:rsid w:val="00E61D35"/>
    <w:rsid w:val="00E61DA5"/>
    <w:rsid w:val="00E62C62"/>
    <w:rsid w:val="00E63D24"/>
    <w:rsid w:val="00E649F4"/>
    <w:rsid w:val="00E654C1"/>
    <w:rsid w:val="00E65658"/>
    <w:rsid w:val="00E65D97"/>
    <w:rsid w:val="00E66E41"/>
    <w:rsid w:val="00E70FFA"/>
    <w:rsid w:val="00E72A5A"/>
    <w:rsid w:val="00E73354"/>
    <w:rsid w:val="00E83F76"/>
    <w:rsid w:val="00E84B35"/>
    <w:rsid w:val="00E85C1C"/>
    <w:rsid w:val="00E87EDE"/>
    <w:rsid w:val="00E907F1"/>
    <w:rsid w:val="00E90926"/>
    <w:rsid w:val="00E9242D"/>
    <w:rsid w:val="00E93724"/>
    <w:rsid w:val="00E97F4F"/>
    <w:rsid w:val="00EA0254"/>
    <w:rsid w:val="00EA3645"/>
    <w:rsid w:val="00EA4A29"/>
    <w:rsid w:val="00EA4B5E"/>
    <w:rsid w:val="00EA51AA"/>
    <w:rsid w:val="00EA5BEA"/>
    <w:rsid w:val="00EB21AC"/>
    <w:rsid w:val="00EB4D16"/>
    <w:rsid w:val="00EB4EFF"/>
    <w:rsid w:val="00EB5255"/>
    <w:rsid w:val="00EB5C47"/>
    <w:rsid w:val="00EB740C"/>
    <w:rsid w:val="00EC0D95"/>
    <w:rsid w:val="00EC37DF"/>
    <w:rsid w:val="00EC3D3D"/>
    <w:rsid w:val="00EC5C01"/>
    <w:rsid w:val="00EC6523"/>
    <w:rsid w:val="00ED0639"/>
    <w:rsid w:val="00ED1944"/>
    <w:rsid w:val="00EE0969"/>
    <w:rsid w:val="00EE66AF"/>
    <w:rsid w:val="00EF4661"/>
    <w:rsid w:val="00EF4755"/>
    <w:rsid w:val="00EF5912"/>
    <w:rsid w:val="00EF7135"/>
    <w:rsid w:val="00EF794A"/>
    <w:rsid w:val="00F007EB"/>
    <w:rsid w:val="00F025BB"/>
    <w:rsid w:val="00F027DB"/>
    <w:rsid w:val="00F044EB"/>
    <w:rsid w:val="00F04693"/>
    <w:rsid w:val="00F05D32"/>
    <w:rsid w:val="00F07B6D"/>
    <w:rsid w:val="00F119FA"/>
    <w:rsid w:val="00F136AD"/>
    <w:rsid w:val="00F13731"/>
    <w:rsid w:val="00F13838"/>
    <w:rsid w:val="00F14A7A"/>
    <w:rsid w:val="00F15610"/>
    <w:rsid w:val="00F22985"/>
    <w:rsid w:val="00F3383E"/>
    <w:rsid w:val="00F40392"/>
    <w:rsid w:val="00F43E48"/>
    <w:rsid w:val="00F44733"/>
    <w:rsid w:val="00F465A7"/>
    <w:rsid w:val="00F469E0"/>
    <w:rsid w:val="00F50A05"/>
    <w:rsid w:val="00F50B7C"/>
    <w:rsid w:val="00F50D1A"/>
    <w:rsid w:val="00F50E89"/>
    <w:rsid w:val="00F550E6"/>
    <w:rsid w:val="00F55CE8"/>
    <w:rsid w:val="00F55D45"/>
    <w:rsid w:val="00F614DC"/>
    <w:rsid w:val="00F72E67"/>
    <w:rsid w:val="00F73387"/>
    <w:rsid w:val="00F73EB6"/>
    <w:rsid w:val="00F74345"/>
    <w:rsid w:val="00F74856"/>
    <w:rsid w:val="00F7512F"/>
    <w:rsid w:val="00F77E2D"/>
    <w:rsid w:val="00F8079D"/>
    <w:rsid w:val="00F80A0A"/>
    <w:rsid w:val="00F816CE"/>
    <w:rsid w:val="00F826DF"/>
    <w:rsid w:val="00F828C1"/>
    <w:rsid w:val="00F82B19"/>
    <w:rsid w:val="00F836B8"/>
    <w:rsid w:val="00F868FB"/>
    <w:rsid w:val="00F90A17"/>
    <w:rsid w:val="00F9131B"/>
    <w:rsid w:val="00F9212D"/>
    <w:rsid w:val="00F93007"/>
    <w:rsid w:val="00F93D6B"/>
    <w:rsid w:val="00F965DA"/>
    <w:rsid w:val="00F972B8"/>
    <w:rsid w:val="00FA0643"/>
    <w:rsid w:val="00FA0F08"/>
    <w:rsid w:val="00FA2DE4"/>
    <w:rsid w:val="00FA406A"/>
    <w:rsid w:val="00FA453B"/>
    <w:rsid w:val="00FB503A"/>
    <w:rsid w:val="00FB516C"/>
    <w:rsid w:val="00FB63CF"/>
    <w:rsid w:val="00FB7FF4"/>
    <w:rsid w:val="00FC1A51"/>
    <w:rsid w:val="00FC1A8E"/>
    <w:rsid w:val="00FD0236"/>
    <w:rsid w:val="00FD14DA"/>
    <w:rsid w:val="00FD18F4"/>
    <w:rsid w:val="00FD4901"/>
    <w:rsid w:val="00FD54DB"/>
    <w:rsid w:val="00FD596F"/>
    <w:rsid w:val="00FD60D7"/>
    <w:rsid w:val="00FD619F"/>
    <w:rsid w:val="00FF0313"/>
    <w:rsid w:val="01290F7E"/>
    <w:rsid w:val="015D1E09"/>
    <w:rsid w:val="01BB63C7"/>
    <w:rsid w:val="023A109F"/>
    <w:rsid w:val="02697903"/>
    <w:rsid w:val="02F96569"/>
    <w:rsid w:val="030D3FBC"/>
    <w:rsid w:val="031B0879"/>
    <w:rsid w:val="03EA7B21"/>
    <w:rsid w:val="047B0480"/>
    <w:rsid w:val="04E54F6E"/>
    <w:rsid w:val="05F83EAE"/>
    <w:rsid w:val="05F9301F"/>
    <w:rsid w:val="063E7D85"/>
    <w:rsid w:val="07293586"/>
    <w:rsid w:val="07295285"/>
    <w:rsid w:val="07636392"/>
    <w:rsid w:val="07770C56"/>
    <w:rsid w:val="08BA0844"/>
    <w:rsid w:val="092217DD"/>
    <w:rsid w:val="093A7294"/>
    <w:rsid w:val="0A263993"/>
    <w:rsid w:val="0A2D3AC2"/>
    <w:rsid w:val="0A455357"/>
    <w:rsid w:val="0A740EC6"/>
    <w:rsid w:val="0AA755DF"/>
    <w:rsid w:val="0B120D44"/>
    <w:rsid w:val="0B1A381C"/>
    <w:rsid w:val="0BD27BF6"/>
    <w:rsid w:val="0C3B3C7D"/>
    <w:rsid w:val="0CAB2EAE"/>
    <w:rsid w:val="0D36374D"/>
    <w:rsid w:val="0D621C7D"/>
    <w:rsid w:val="0DF341D6"/>
    <w:rsid w:val="0E73034D"/>
    <w:rsid w:val="0EEC487F"/>
    <w:rsid w:val="0F13775A"/>
    <w:rsid w:val="0F5F45FE"/>
    <w:rsid w:val="0F643880"/>
    <w:rsid w:val="0F9A112B"/>
    <w:rsid w:val="0FC5311B"/>
    <w:rsid w:val="106D2F64"/>
    <w:rsid w:val="10B63710"/>
    <w:rsid w:val="10C009C2"/>
    <w:rsid w:val="10F10820"/>
    <w:rsid w:val="111C2F7A"/>
    <w:rsid w:val="112E0E09"/>
    <w:rsid w:val="113D7E67"/>
    <w:rsid w:val="11665CA1"/>
    <w:rsid w:val="11FA6155"/>
    <w:rsid w:val="12C329EB"/>
    <w:rsid w:val="13951726"/>
    <w:rsid w:val="13C07831"/>
    <w:rsid w:val="13D1738A"/>
    <w:rsid w:val="141D1E71"/>
    <w:rsid w:val="14396509"/>
    <w:rsid w:val="14445DAD"/>
    <w:rsid w:val="14757D15"/>
    <w:rsid w:val="14DD2C3C"/>
    <w:rsid w:val="156335A1"/>
    <w:rsid w:val="15915815"/>
    <w:rsid w:val="16087E1D"/>
    <w:rsid w:val="16277C9B"/>
    <w:rsid w:val="16B15D8A"/>
    <w:rsid w:val="17435FAC"/>
    <w:rsid w:val="17701D14"/>
    <w:rsid w:val="17735226"/>
    <w:rsid w:val="17BF7B1D"/>
    <w:rsid w:val="18105FE3"/>
    <w:rsid w:val="189F624C"/>
    <w:rsid w:val="199B76BB"/>
    <w:rsid w:val="19CF0524"/>
    <w:rsid w:val="1A163D48"/>
    <w:rsid w:val="1A1C66C0"/>
    <w:rsid w:val="1A356162"/>
    <w:rsid w:val="1A42393B"/>
    <w:rsid w:val="1A5151EC"/>
    <w:rsid w:val="1AAD45DE"/>
    <w:rsid w:val="1B046F80"/>
    <w:rsid w:val="1B3267B5"/>
    <w:rsid w:val="1B391C23"/>
    <w:rsid w:val="1B40161D"/>
    <w:rsid w:val="1B441859"/>
    <w:rsid w:val="1B6606B1"/>
    <w:rsid w:val="1C5E7925"/>
    <w:rsid w:val="1CFD070F"/>
    <w:rsid w:val="1D5F6196"/>
    <w:rsid w:val="1D6132A5"/>
    <w:rsid w:val="1D8E56D5"/>
    <w:rsid w:val="1E7A43DA"/>
    <w:rsid w:val="1EB40C91"/>
    <w:rsid w:val="1EB855C6"/>
    <w:rsid w:val="1FE7539E"/>
    <w:rsid w:val="2013117C"/>
    <w:rsid w:val="20671BE0"/>
    <w:rsid w:val="20963CB8"/>
    <w:rsid w:val="20A81A1B"/>
    <w:rsid w:val="20B07FB6"/>
    <w:rsid w:val="20B646FB"/>
    <w:rsid w:val="20BE5E90"/>
    <w:rsid w:val="213A031C"/>
    <w:rsid w:val="213B74B1"/>
    <w:rsid w:val="215A2310"/>
    <w:rsid w:val="217B27DC"/>
    <w:rsid w:val="21AB746C"/>
    <w:rsid w:val="21AD0AEE"/>
    <w:rsid w:val="21D70F28"/>
    <w:rsid w:val="21DE318A"/>
    <w:rsid w:val="21EF5B80"/>
    <w:rsid w:val="22576990"/>
    <w:rsid w:val="22E91FFA"/>
    <w:rsid w:val="22F47480"/>
    <w:rsid w:val="234E00AF"/>
    <w:rsid w:val="23CC63BC"/>
    <w:rsid w:val="23DE1C48"/>
    <w:rsid w:val="240210CD"/>
    <w:rsid w:val="241F4AA1"/>
    <w:rsid w:val="24693F5A"/>
    <w:rsid w:val="24B04D44"/>
    <w:rsid w:val="24BF09F7"/>
    <w:rsid w:val="24C471CB"/>
    <w:rsid w:val="252D53FE"/>
    <w:rsid w:val="25C12DBA"/>
    <w:rsid w:val="25EC2D81"/>
    <w:rsid w:val="2694227D"/>
    <w:rsid w:val="277057A2"/>
    <w:rsid w:val="279462AC"/>
    <w:rsid w:val="291211DE"/>
    <w:rsid w:val="29206EB8"/>
    <w:rsid w:val="29595666"/>
    <w:rsid w:val="29874881"/>
    <w:rsid w:val="29E325E0"/>
    <w:rsid w:val="2A452503"/>
    <w:rsid w:val="2A6E3150"/>
    <w:rsid w:val="2B874B03"/>
    <w:rsid w:val="2BA936A8"/>
    <w:rsid w:val="2C315A5A"/>
    <w:rsid w:val="2C4B1C25"/>
    <w:rsid w:val="2CB800AB"/>
    <w:rsid w:val="2CBC00A7"/>
    <w:rsid w:val="2D9E56F5"/>
    <w:rsid w:val="2DF35BC5"/>
    <w:rsid w:val="2E086271"/>
    <w:rsid w:val="2E667F96"/>
    <w:rsid w:val="2E6F7CA1"/>
    <w:rsid w:val="2E8226AB"/>
    <w:rsid w:val="2F3565C7"/>
    <w:rsid w:val="2FD065E6"/>
    <w:rsid w:val="2FD96870"/>
    <w:rsid w:val="30580BC9"/>
    <w:rsid w:val="30A71ECD"/>
    <w:rsid w:val="30B97271"/>
    <w:rsid w:val="311E2ED7"/>
    <w:rsid w:val="315619EE"/>
    <w:rsid w:val="315C449C"/>
    <w:rsid w:val="31B82709"/>
    <w:rsid w:val="31D05482"/>
    <w:rsid w:val="32400B34"/>
    <w:rsid w:val="329E6876"/>
    <w:rsid w:val="333015F2"/>
    <w:rsid w:val="334119DE"/>
    <w:rsid w:val="334B6320"/>
    <w:rsid w:val="339C09C3"/>
    <w:rsid w:val="33C10F80"/>
    <w:rsid w:val="33D934D4"/>
    <w:rsid w:val="33FE2F6A"/>
    <w:rsid w:val="340E07E5"/>
    <w:rsid w:val="34235BF7"/>
    <w:rsid w:val="34E571E0"/>
    <w:rsid w:val="351078BA"/>
    <w:rsid w:val="35571045"/>
    <w:rsid w:val="357A2DF7"/>
    <w:rsid w:val="358C5FA8"/>
    <w:rsid w:val="35C15DF1"/>
    <w:rsid w:val="35C62FF6"/>
    <w:rsid w:val="36074A7F"/>
    <w:rsid w:val="36923549"/>
    <w:rsid w:val="36B75FBF"/>
    <w:rsid w:val="36BD0C45"/>
    <w:rsid w:val="37E00298"/>
    <w:rsid w:val="38B302F9"/>
    <w:rsid w:val="38F12CD3"/>
    <w:rsid w:val="38F94775"/>
    <w:rsid w:val="39071BCE"/>
    <w:rsid w:val="392971ED"/>
    <w:rsid w:val="39325651"/>
    <w:rsid w:val="39B324CD"/>
    <w:rsid w:val="3A577D39"/>
    <w:rsid w:val="3A872856"/>
    <w:rsid w:val="3B0D1C2F"/>
    <w:rsid w:val="3B3763D1"/>
    <w:rsid w:val="3C2F6E1E"/>
    <w:rsid w:val="3C4F64BA"/>
    <w:rsid w:val="3CDA245A"/>
    <w:rsid w:val="3D1E06B7"/>
    <w:rsid w:val="3D51281E"/>
    <w:rsid w:val="3D826E7B"/>
    <w:rsid w:val="3E077052"/>
    <w:rsid w:val="3E6A003B"/>
    <w:rsid w:val="3EBB44AA"/>
    <w:rsid w:val="3ECA05B2"/>
    <w:rsid w:val="3EDA0523"/>
    <w:rsid w:val="3F21749A"/>
    <w:rsid w:val="3F3B31CA"/>
    <w:rsid w:val="3F426C14"/>
    <w:rsid w:val="3F4646BD"/>
    <w:rsid w:val="3F7B51A0"/>
    <w:rsid w:val="407A6407"/>
    <w:rsid w:val="418A789A"/>
    <w:rsid w:val="4200449D"/>
    <w:rsid w:val="423A3BCC"/>
    <w:rsid w:val="424E57D2"/>
    <w:rsid w:val="42B26C49"/>
    <w:rsid w:val="433A6FE6"/>
    <w:rsid w:val="433A7EF8"/>
    <w:rsid w:val="43480868"/>
    <w:rsid w:val="4350713C"/>
    <w:rsid w:val="436653E0"/>
    <w:rsid w:val="437B23A2"/>
    <w:rsid w:val="43953B3A"/>
    <w:rsid w:val="43C4431A"/>
    <w:rsid w:val="44153392"/>
    <w:rsid w:val="44B951CC"/>
    <w:rsid w:val="44CD14E0"/>
    <w:rsid w:val="44F20B0B"/>
    <w:rsid w:val="452E5F4C"/>
    <w:rsid w:val="45612018"/>
    <w:rsid w:val="458946E9"/>
    <w:rsid w:val="45A47C0E"/>
    <w:rsid w:val="46577FD6"/>
    <w:rsid w:val="46A11BC9"/>
    <w:rsid w:val="46D955A7"/>
    <w:rsid w:val="47133957"/>
    <w:rsid w:val="47A07E0C"/>
    <w:rsid w:val="47F570E0"/>
    <w:rsid w:val="48074B4D"/>
    <w:rsid w:val="485D7557"/>
    <w:rsid w:val="4870272E"/>
    <w:rsid w:val="491B0BE3"/>
    <w:rsid w:val="49DC7715"/>
    <w:rsid w:val="4A023139"/>
    <w:rsid w:val="4A7B576F"/>
    <w:rsid w:val="4A934476"/>
    <w:rsid w:val="4AF561A9"/>
    <w:rsid w:val="4C325F10"/>
    <w:rsid w:val="4C347D34"/>
    <w:rsid w:val="4C4A0649"/>
    <w:rsid w:val="4C7E5ECA"/>
    <w:rsid w:val="4C876AA5"/>
    <w:rsid w:val="4C965105"/>
    <w:rsid w:val="4CAE004D"/>
    <w:rsid w:val="4CBB7CB4"/>
    <w:rsid w:val="4D0E00FB"/>
    <w:rsid w:val="4D176606"/>
    <w:rsid w:val="4DA644C0"/>
    <w:rsid w:val="4DBF37D4"/>
    <w:rsid w:val="4DE37DDF"/>
    <w:rsid w:val="4DEC4FB0"/>
    <w:rsid w:val="4E075D8A"/>
    <w:rsid w:val="4EC00FAD"/>
    <w:rsid w:val="4F115E11"/>
    <w:rsid w:val="4F9843DC"/>
    <w:rsid w:val="4FC62A8C"/>
    <w:rsid w:val="4FE20F0D"/>
    <w:rsid w:val="4FE51552"/>
    <w:rsid w:val="50504C4B"/>
    <w:rsid w:val="509C6E7C"/>
    <w:rsid w:val="5162104E"/>
    <w:rsid w:val="51B873FA"/>
    <w:rsid w:val="525210BA"/>
    <w:rsid w:val="538B0C84"/>
    <w:rsid w:val="5392397B"/>
    <w:rsid w:val="53A039CC"/>
    <w:rsid w:val="53A1505A"/>
    <w:rsid w:val="54063E08"/>
    <w:rsid w:val="543437E8"/>
    <w:rsid w:val="54F73313"/>
    <w:rsid w:val="54F80955"/>
    <w:rsid w:val="555170A7"/>
    <w:rsid w:val="5587536D"/>
    <w:rsid w:val="559B174B"/>
    <w:rsid w:val="55CE0CF4"/>
    <w:rsid w:val="564E7DEA"/>
    <w:rsid w:val="567D597C"/>
    <w:rsid w:val="56B22A9C"/>
    <w:rsid w:val="57B72A76"/>
    <w:rsid w:val="57C3426C"/>
    <w:rsid w:val="57CE1F93"/>
    <w:rsid w:val="57F8000E"/>
    <w:rsid w:val="583B6311"/>
    <w:rsid w:val="588743D1"/>
    <w:rsid w:val="5887701A"/>
    <w:rsid w:val="58DD0855"/>
    <w:rsid w:val="590F0CEB"/>
    <w:rsid w:val="59C0439F"/>
    <w:rsid w:val="59E441F9"/>
    <w:rsid w:val="5A0B1340"/>
    <w:rsid w:val="5A142217"/>
    <w:rsid w:val="5AA4622B"/>
    <w:rsid w:val="5ABE2233"/>
    <w:rsid w:val="5ADB7851"/>
    <w:rsid w:val="5B105132"/>
    <w:rsid w:val="5BDD7DA5"/>
    <w:rsid w:val="5BDF5D95"/>
    <w:rsid w:val="5BFE7528"/>
    <w:rsid w:val="5C3330C8"/>
    <w:rsid w:val="5D015BB7"/>
    <w:rsid w:val="5D8D744A"/>
    <w:rsid w:val="5E0351C9"/>
    <w:rsid w:val="5E2467F1"/>
    <w:rsid w:val="5E9465B6"/>
    <w:rsid w:val="5F1A2B43"/>
    <w:rsid w:val="5F8F595B"/>
    <w:rsid w:val="5FB837BB"/>
    <w:rsid w:val="5FE570CA"/>
    <w:rsid w:val="60477D84"/>
    <w:rsid w:val="604935E0"/>
    <w:rsid w:val="60CC405A"/>
    <w:rsid w:val="61E215D8"/>
    <w:rsid w:val="621B3775"/>
    <w:rsid w:val="62361E5F"/>
    <w:rsid w:val="62364782"/>
    <w:rsid w:val="62426A55"/>
    <w:rsid w:val="62CD720E"/>
    <w:rsid w:val="631F7ED5"/>
    <w:rsid w:val="63232114"/>
    <w:rsid w:val="638B5CAB"/>
    <w:rsid w:val="6394356A"/>
    <w:rsid w:val="63C61B2C"/>
    <w:rsid w:val="63D40BE9"/>
    <w:rsid w:val="63EB6C79"/>
    <w:rsid w:val="64102431"/>
    <w:rsid w:val="64444B9A"/>
    <w:rsid w:val="64A5243A"/>
    <w:rsid w:val="64B97739"/>
    <w:rsid w:val="64F531DE"/>
    <w:rsid w:val="65373578"/>
    <w:rsid w:val="653A7EAA"/>
    <w:rsid w:val="66BB0B84"/>
    <w:rsid w:val="66CA3615"/>
    <w:rsid w:val="66CB0B3C"/>
    <w:rsid w:val="66F54D49"/>
    <w:rsid w:val="671F124A"/>
    <w:rsid w:val="677A33C6"/>
    <w:rsid w:val="681F6961"/>
    <w:rsid w:val="68610A2F"/>
    <w:rsid w:val="687E6296"/>
    <w:rsid w:val="68805514"/>
    <w:rsid w:val="69316E2F"/>
    <w:rsid w:val="694E2071"/>
    <w:rsid w:val="69662CB9"/>
    <w:rsid w:val="69766163"/>
    <w:rsid w:val="697A3B33"/>
    <w:rsid w:val="69D44760"/>
    <w:rsid w:val="6A2E7C1B"/>
    <w:rsid w:val="6A520EC7"/>
    <w:rsid w:val="6AF87E20"/>
    <w:rsid w:val="6AFA2961"/>
    <w:rsid w:val="6B322639"/>
    <w:rsid w:val="6BCA7AF9"/>
    <w:rsid w:val="6C631444"/>
    <w:rsid w:val="6C636C38"/>
    <w:rsid w:val="6D6A1D6A"/>
    <w:rsid w:val="6D980EF7"/>
    <w:rsid w:val="6DB34098"/>
    <w:rsid w:val="6DB545B6"/>
    <w:rsid w:val="6DE02FB4"/>
    <w:rsid w:val="6E514CED"/>
    <w:rsid w:val="6EB563D5"/>
    <w:rsid w:val="6ED92677"/>
    <w:rsid w:val="6F225983"/>
    <w:rsid w:val="6F235519"/>
    <w:rsid w:val="6FFC5590"/>
    <w:rsid w:val="700B2C14"/>
    <w:rsid w:val="706D1DD0"/>
    <w:rsid w:val="70797283"/>
    <w:rsid w:val="70856B87"/>
    <w:rsid w:val="70D527EE"/>
    <w:rsid w:val="70DD3260"/>
    <w:rsid w:val="715B5300"/>
    <w:rsid w:val="715F7047"/>
    <w:rsid w:val="71D27F8A"/>
    <w:rsid w:val="72553024"/>
    <w:rsid w:val="7292053F"/>
    <w:rsid w:val="72F66CF4"/>
    <w:rsid w:val="73122968"/>
    <w:rsid w:val="731F5D5E"/>
    <w:rsid w:val="73C51AD5"/>
    <w:rsid w:val="741E793C"/>
    <w:rsid w:val="745E3944"/>
    <w:rsid w:val="746676B6"/>
    <w:rsid w:val="7635099D"/>
    <w:rsid w:val="763664BA"/>
    <w:rsid w:val="76992564"/>
    <w:rsid w:val="7755292F"/>
    <w:rsid w:val="77762421"/>
    <w:rsid w:val="77B56B1F"/>
    <w:rsid w:val="77C45E68"/>
    <w:rsid w:val="780F09F4"/>
    <w:rsid w:val="78A90480"/>
    <w:rsid w:val="792955BC"/>
    <w:rsid w:val="7A232871"/>
    <w:rsid w:val="7A364017"/>
    <w:rsid w:val="7A8265E1"/>
    <w:rsid w:val="7B0F123B"/>
    <w:rsid w:val="7B686D42"/>
    <w:rsid w:val="7B841746"/>
    <w:rsid w:val="7BA82B1B"/>
    <w:rsid w:val="7BD9584C"/>
    <w:rsid w:val="7C2F38B2"/>
    <w:rsid w:val="7C5E07C9"/>
    <w:rsid w:val="7C6C5AC7"/>
    <w:rsid w:val="7C822B4F"/>
    <w:rsid w:val="7CC6544B"/>
    <w:rsid w:val="7D0239FF"/>
    <w:rsid w:val="7D5E40CD"/>
    <w:rsid w:val="7DCD56F2"/>
    <w:rsid w:val="7E2A0AD3"/>
    <w:rsid w:val="7E2B18B9"/>
    <w:rsid w:val="7EA10D63"/>
    <w:rsid w:val="7EA83C8C"/>
    <w:rsid w:val="7F001CE7"/>
    <w:rsid w:val="7F281225"/>
    <w:rsid w:val="7F686F78"/>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iPriority="0" w:semiHidden="0" w:name="Body Text 3" w:locked="1"/>
    <w:lsdException w:qFormat="1" w:unhideWhenUsed="0" w:uiPriority="0" w:semiHidden="0" w:name="Body Text Indent 2" w:locked="1"/>
    <w:lsdException w:unhideWhenUsed="0" w:uiPriority="0" w:semiHidden="0" w:name="Body Text Indent 3" w:locked="1"/>
    <w:lsdException w:qFormat="1"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7"/>
    <w:qFormat/>
    <w:locked/>
    <w:uiPriority w:val="0"/>
    <w:pPr>
      <w:keepNext/>
      <w:keepLines/>
      <w:tabs>
        <w:tab w:val="left" w:pos="0"/>
      </w:tabs>
      <w:adjustRightInd w:val="0"/>
      <w:snapToGrid w:val="0"/>
      <w:spacing w:line="360" w:lineRule="auto"/>
      <w:ind w:left="575" w:hanging="575"/>
      <w:jc w:val="left"/>
      <w:outlineLvl w:val="1"/>
    </w:pPr>
    <w:rPr>
      <w:rFonts w:eastAsia="黑体"/>
      <w:b/>
      <w:bCs/>
      <w:sz w:val="28"/>
      <w:szCs w:val="28"/>
    </w:rPr>
  </w:style>
  <w:style w:type="paragraph" w:styleId="4">
    <w:name w:val="heading 3"/>
    <w:basedOn w:val="1"/>
    <w:next w:val="1"/>
    <w:link w:val="38"/>
    <w:qFormat/>
    <w:locked/>
    <w:uiPriority w:val="0"/>
    <w:pPr>
      <w:keepNext/>
      <w:keepLines/>
      <w:tabs>
        <w:tab w:val="left" w:pos="0"/>
        <w:tab w:val="left" w:pos="420"/>
      </w:tabs>
      <w:adjustRightInd w:val="0"/>
      <w:snapToGrid w:val="0"/>
      <w:spacing w:line="360" w:lineRule="auto"/>
      <w:jc w:val="left"/>
      <w:outlineLvl w:val="2"/>
    </w:pPr>
    <w:rPr>
      <w:rFonts w:eastAsia="黑体"/>
      <w:b/>
      <w:bCs/>
      <w:sz w:val="24"/>
    </w:rPr>
  </w:style>
  <w:style w:type="paragraph" w:styleId="5">
    <w:name w:val="heading 4"/>
    <w:basedOn w:val="1"/>
    <w:next w:val="1"/>
    <w:link w:val="39"/>
    <w:qFormat/>
    <w:locked/>
    <w:uiPriority w:val="0"/>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5"/>
    <w:basedOn w:val="1"/>
    <w:next w:val="1"/>
    <w:link w:val="40"/>
    <w:qFormat/>
    <w:locked/>
    <w:uiPriority w:val="0"/>
    <w:pPr>
      <w:keepNext/>
      <w:keepLines/>
      <w:spacing w:before="280" w:after="290" w:line="376" w:lineRule="auto"/>
      <w:outlineLvl w:val="4"/>
    </w:pPr>
    <w:rPr>
      <w:b/>
      <w:bCs/>
      <w:sz w:val="28"/>
      <w:szCs w:val="28"/>
    </w:rPr>
  </w:style>
  <w:style w:type="paragraph" w:styleId="7">
    <w:name w:val="heading 7"/>
    <w:basedOn w:val="1"/>
    <w:next w:val="1"/>
    <w:link w:val="41"/>
    <w:qFormat/>
    <w:locked/>
    <w:uiPriority w:val="0"/>
    <w:pPr>
      <w:keepNext/>
      <w:keepLines/>
      <w:adjustRightInd w:val="0"/>
      <w:snapToGrid w:val="0"/>
      <w:spacing w:before="240" w:after="64" w:line="317" w:lineRule="auto"/>
      <w:ind w:left="1296"/>
      <w:jc w:val="left"/>
      <w:outlineLvl w:val="6"/>
    </w:pPr>
    <w:rPr>
      <w:b/>
      <w:sz w:val="24"/>
    </w:rPr>
  </w:style>
  <w:style w:type="paragraph" w:styleId="8">
    <w:name w:val="heading 8"/>
    <w:basedOn w:val="1"/>
    <w:next w:val="1"/>
    <w:link w:val="42"/>
    <w:qFormat/>
    <w:locked/>
    <w:uiPriority w:val="0"/>
    <w:pPr>
      <w:keepNext/>
      <w:keepLines/>
      <w:adjustRightInd w:val="0"/>
      <w:snapToGrid w:val="0"/>
      <w:spacing w:before="240" w:after="64" w:line="317" w:lineRule="auto"/>
      <w:ind w:left="1440"/>
      <w:jc w:val="left"/>
      <w:outlineLvl w:val="7"/>
    </w:pPr>
    <w:rPr>
      <w:rFonts w:ascii="Arial" w:hAnsi="Arial" w:eastAsia="黑体"/>
      <w:sz w:val="24"/>
    </w:rPr>
  </w:style>
  <w:style w:type="paragraph" w:styleId="9">
    <w:name w:val="heading 9"/>
    <w:basedOn w:val="1"/>
    <w:next w:val="1"/>
    <w:link w:val="43"/>
    <w:qFormat/>
    <w:locked/>
    <w:uiPriority w:val="0"/>
    <w:pPr>
      <w:keepNext/>
      <w:keepLines/>
      <w:adjustRightInd w:val="0"/>
      <w:snapToGrid w:val="0"/>
      <w:spacing w:before="240" w:after="64" w:line="317" w:lineRule="auto"/>
      <w:ind w:left="1583"/>
      <w:jc w:val="left"/>
      <w:outlineLvl w:val="8"/>
    </w:pPr>
    <w:rPr>
      <w:rFonts w:ascii="Arial" w:hAnsi="Arial" w:eastAsia="黑体"/>
    </w:rPr>
  </w:style>
  <w:style w:type="character" w:default="1" w:styleId="32">
    <w:name w:val="Default Paragraph Font"/>
    <w:semiHidden/>
    <w:qFormat/>
    <w:uiPriority w:val="0"/>
  </w:style>
  <w:style w:type="table" w:default="1" w:styleId="30">
    <w:name w:val="Normal Table"/>
    <w:semiHidden/>
    <w:qFormat/>
    <w:uiPriority w:val="0"/>
    <w:tblPr>
      <w:tblLayout w:type="fixed"/>
      <w:tblCellMar>
        <w:top w:w="0" w:type="dxa"/>
        <w:left w:w="108" w:type="dxa"/>
        <w:bottom w:w="0" w:type="dxa"/>
        <w:right w:w="108" w:type="dxa"/>
      </w:tblCellMar>
    </w:tblPr>
  </w:style>
  <w:style w:type="paragraph" w:styleId="10">
    <w:name w:val="Normal Indent"/>
    <w:basedOn w:val="1"/>
    <w:qFormat/>
    <w:locked/>
    <w:uiPriority w:val="0"/>
    <w:pPr>
      <w:ind w:firstLine="420" w:firstLineChars="200"/>
    </w:pPr>
  </w:style>
  <w:style w:type="paragraph" w:styleId="11">
    <w:name w:val="annotation text"/>
    <w:basedOn w:val="1"/>
    <w:link w:val="44"/>
    <w:semiHidden/>
    <w:qFormat/>
    <w:uiPriority w:val="0"/>
    <w:pPr>
      <w:jc w:val="left"/>
    </w:pPr>
    <w:rPr>
      <w:kern w:val="0"/>
      <w:sz w:val="24"/>
      <w:szCs w:val="20"/>
    </w:rPr>
  </w:style>
  <w:style w:type="paragraph" w:styleId="12">
    <w:name w:val="Body Text 3"/>
    <w:basedOn w:val="1"/>
    <w:link w:val="45"/>
    <w:unhideWhenUsed/>
    <w:qFormat/>
    <w:locked/>
    <w:uiPriority w:val="0"/>
    <w:pPr>
      <w:spacing w:after="120"/>
    </w:pPr>
    <w:rPr>
      <w:sz w:val="16"/>
      <w:szCs w:val="16"/>
    </w:rPr>
  </w:style>
  <w:style w:type="paragraph" w:styleId="13">
    <w:name w:val="Body Text"/>
    <w:basedOn w:val="1"/>
    <w:next w:val="14"/>
    <w:link w:val="46"/>
    <w:qFormat/>
    <w:uiPriority w:val="0"/>
    <w:pPr>
      <w:widowControl/>
      <w:snapToGrid w:val="0"/>
      <w:spacing w:before="60" w:after="160" w:line="259" w:lineRule="auto"/>
      <w:ind w:right="113"/>
    </w:pPr>
    <w:rPr>
      <w:kern w:val="0"/>
      <w:sz w:val="18"/>
      <w:szCs w:val="20"/>
    </w:rPr>
  </w:style>
  <w:style w:type="paragraph" w:customStyle="1" w:styleId="14">
    <w:name w:val="Normal (Web)1"/>
    <w:basedOn w:val="1"/>
    <w:next w:val="15"/>
    <w:qFormat/>
    <w:uiPriority w:val="0"/>
    <w:pPr>
      <w:widowControl/>
      <w:jc w:val="left"/>
    </w:pPr>
    <w:rPr>
      <w:rFonts w:ascii="宋体" w:cs="Times New Roman"/>
      <w:kern w:val="0"/>
      <w:sz w:val="24"/>
      <w:szCs w:val="21"/>
    </w:rPr>
  </w:style>
  <w:style w:type="paragraph" w:customStyle="1" w:styleId="15">
    <w:name w:val="Date1"/>
    <w:basedOn w:val="1"/>
    <w:next w:val="1"/>
    <w:qFormat/>
    <w:uiPriority w:val="0"/>
    <w:pPr>
      <w:ind w:left="2500" w:leftChars="2500"/>
    </w:pPr>
  </w:style>
  <w:style w:type="paragraph" w:styleId="16">
    <w:name w:val="Body Text Indent"/>
    <w:basedOn w:val="1"/>
    <w:link w:val="47"/>
    <w:qFormat/>
    <w:uiPriority w:val="0"/>
    <w:pPr>
      <w:spacing w:after="120"/>
      <w:ind w:left="420" w:leftChars="200"/>
    </w:pPr>
    <w:rPr>
      <w:kern w:val="0"/>
      <w:sz w:val="24"/>
      <w:szCs w:val="20"/>
    </w:rPr>
  </w:style>
  <w:style w:type="paragraph" w:styleId="17">
    <w:name w:val="Block Text"/>
    <w:basedOn w:val="1"/>
    <w:unhideWhenUsed/>
    <w:qFormat/>
    <w:locked/>
    <w:uiPriority w:val="0"/>
    <w:pPr>
      <w:adjustRightInd w:val="0"/>
      <w:spacing w:before="120" w:line="440" w:lineRule="exact"/>
      <w:ind w:left="284" w:right="284" w:firstLine="567"/>
    </w:pPr>
    <w:rPr>
      <w:rFonts w:ascii="楷体_GB2312" w:eastAsia="楷体_GB2312"/>
      <w:spacing w:val="-2"/>
      <w:kern w:val="0"/>
      <w:sz w:val="28"/>
      <w:szCs w:val="20"/>
    </w:rPr>
  </w:style>
  <w:style w:type="paragraph" w:styleId="18">
    <w:name w:val="Plain Text"/>
    <w:basedOn w:val="1"/>
    <w:qFormat/>
    <w:locked/>
    <w:uiPriority w:val="0"/>
    <w:rPr>
      <w:rFonts w:ascii="宋体" w:hAnsi="Courier New" w:eastAsia="仿宋_GB2312"/>
      <w:sz w:val="28"/>
      <w:szCs w:val="20"/>
    </w:rPr>
  </w:style>
  <w:style w:type="paragraph" w:styleId="19">
    <w:name w:val="Date"/>
    <w:basedOn w:val="1"/>
    <w:next w:val="1"/>
    <w:link w:val="48"/>
    <w:qFormat/>
    <w:uiPriority w:val="0"/>
    <w:pPr>
      <w:ind w:left="100" w:leftChars="2500"/>
    </w:pPr>
    <w:rPr>
      <w:kern w:val="0"/>
      <w:sz w:val="24"/>
      <w:szCs w:val="20"/>
    </w:rPr>
  </w:style>
  <w:style w:type="paragraph" w:styleId="20">
    <w:name w:val="Body Text Indent 2"/>
    <w:basedOn w:val="1"/>
    <w:link w:val="49"/>
    <w:qFormat/>
    <w:locked/>
    <w:uiPriority w:val="0"/>
    <w:pPr>
      <w:spacing w:after="120" w:line="480" w:lineRule="auto"/>
      <w:ind w:left="420" w:leftChars="200"/>
    </w:pPr>
  </w:style>
  <w:style w:type="paragraph" w:styleId="21">
    <w:name w:val="Balloon Text"/>
    <w:basedOn w:val="1"/>
    <w:link w:val="50"/>
    <w:semiHidden/>
    <w:qFormat/>
    <w:uiPriority w:val="0"/>
    <w:rPr>
      <w:kern w:val="0"/>
      <w:sz w:val="18"/>
      <w:szCs w:val="20"/>
    </w:rPr>
  </w:style>
  <w:style w:type="paragraph" w:styleId="22">
    <w:name w:val="footer"/>
    <w:basedOn w:val="1"/>
    <w:link w:val="51"/>
    <w:qFormat/>
    <w:uiPriority w:val="99"/>
    <w:pPr>
      <w:tabs>
        <w:tab w:val="center" w:pos="4153"/>
        <w:tab w:val="right" w:pos="8306"/>
      </w:tabs>
      <w:snapToGrid w:val="0"/>
      <w:jc w:val="left"/>
    </w:pPr>
    <w:rPr>
      <w:kern w:val="0"/>
      <w:sz w:val="18"/>
      <w:szCs w:val="20"/>
    </w:rPr>
  </w:style>
  <w:style w:type="paragraph" w:styleId="23">
    <w:name w:val="header"/>
    <w:basedOn w:val="1"/>
    <w:link w:val="52"/>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qFormat/>
    <w:locked/>
    <w:uiPriority w:val="39"/>
  </w:style>
  <w:style w:type="paragraph" w:styleId="25">
    <w:name w:val="toc 2"/>
    <w:basedOn w:val="1"/>
    <w:next w:val="1"/>
    <w:unhideWhenUsed/>
    <w:qFormat/>
    <w:locked/>
    <w:uiPriority w:val="0"/>
    <w:pPr>
      <w:ind w:left="420" w:leftChars="200"/>
    </w:pPr>
  </w:style>
  <w:style w:type="paragraph" w:styleId="26">
    <w:name w:val="Body Text 2"/>
    <w:basedOn w:val="1"/>
    <w:link w:val="53"/>
    <w:qFormat/>
    <w:locked/>
    <w:uiPriority w:val="0"/>
    <w:pPr>
      <w:spacing w:after="120" w:line="480" w:lineRule="auto"/>
    </w:pPr>
  </w:style>
  <w:style w:type="paragraph" w:styleId="27">
    <w:name w:val="Normal (Web)"/>
    <w:basedOn w:val="1"/>
    <w:link w:val="54"/>
    <w:qFormat/>
    <w:uiPriority w:val="99"/>
    <w:pPr>
      <w:widowControl/>
      <w:spacing w:before="100" w:beforeAutospacing="1" w:after="100" w:afterAutospacing="1"/>
      <w:jc w:val="left"/>
    </w:pPr>
    <w:rPr>
      <w:rFonts w:ascii="宋体" w:hAnsi="宋体"/>
      <w:kern w:val="0"/>
      <w:sz w:val="24"/>
      <w:szCs w:val="20"/>
    </w:rPr>
  </w:style>
  <w:style w:type="paragraph" w:styleId="28">
    <w:name w:val="annotation subject"/>
    <w:basedOn w:val="11"/>
    <w:next w:val="11"/>
    <w:link w:val="55"/>
    <w:semiHidden/>
    <w:qFormat/>
    <w:uiPriority w:val="0"/>
    <w:rPr>
      <w:b/>
      <w:sz w:val="24"/>
      <w:szCs w:val="20"/>
    </w:rPr>
  </w:style>
  <w:style w:type="paragraph" w:styleId="29">
    <w:name w:val="Body Text First Indent"/>
    <w:basedOn w:val="13"/>
    <w:next w:val="1"/>
    <w:qFormat/>
    <w:locked/>
    <w:uiPriority w:val="0"/>
    <w:pPr>
      <w:ind w:firstLine="420" w:firstLineChars="100"/>
    </w:p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3">
    <w:name w:val="page number"/>
    <w:qFormat/>
    <w:locked/>
    <w:uiPriority w:val="0"/>
  </w:style>
  <w:style w:type="character" w:styleId="34">
    <w:name w:val="FollowedHyperlink"/>
    <w:unhideWhenUsed/>
    <w:qFormat/>
    <w:locked/>
    <w:uiPriority w:val="99"/>
    <w:rPr>
      <w:color w:val="800080"/>
      <w:u w:val="single"/>
    </w:rPr>
  </w:style>
  <w:style w:type="character" w:styleId="35">
    <w:name w:val="Hyperlink"/>
    <w:unhideWhenUsed/>
    <w:qFormat/>
    <w:locked/>
    <w:uiPriority w:val="99"/>
    <w:rPr>
      <w:color w:val="0000FF"/>
      <w:u w:val="single"/>
    </w:rPr>
  </w:style>
  <w:style w:type="character" w:styleId="36">
    <w:name w:val="annotation reference"/>
    <w:qFormat/>
    <w:uiPriority w:val="0"/>
    <w:rPr>
      <w:sz w:val="21"/>
    </w:rPr>
  </w:style>
  <w:style w:type="character" w:customStyle="1" w:styleId="37">
    <w:name w:val="标题 2 字符"/>
    <w:link w:val="3"/>
    <w:qFormat/>
    <w:uiPriority w:val="0"/>
    <w:rPr>
      <w:rFonts w:eastAsia="黑体"/>
      <w:b/>
      <w:bCs/>
      <w:kern w:val="2"/>
      <w:sz w:val="28"/>
      <w:szCs w:val="28"/>
    </w:rPr>
  </w:style>
  <w:style w:type="character" w:customStyle="1" w:styleId="38">
    <w:name w:val="标题 3 字符"/>
    <w:link w:val="4"/>
    <w:qFormat/>
    <w:uiPriority w:val="0"/>
    <w:rPr>
      <w:rFonts w:eastAsia="黑体"/>
      <w:b/>
      <w:bCs/>
      <w:kern w:val="2"/>
      <w:sz w:val="24"/>
      <w:szCs w:val="24"/>
    </w:rPr>
  </w:style>
  <w:style w:type="character" w:customStyle="1" w:styleId="39">
    <w:name w:val="标题 4 字符"/>
    <w:link w:val="5"/>
    <w:semiHidden/>
    <w:qFormat/>
    <w:uiPriority w:val="0"/>
    <w:rPr>
      <w:rFonts w:ascii="等线 Light" w:hAnsi="等线 Light" w:eastAsia="等线 Light" w:cs="Times New Roman"/>
      <w:b/>
      <w:bCs/>
      <w:kern w:val="2"/>
      <w:sz w:val="28"/>
      <w:szCs w:val="28"/>
    </w:rPr>
  </w:style>
  <w:style w:type="character" w:customStyle="1" w:styleId="40">
    <w:name w:val="标题 5 字符"/>
    <w:link w:val="6"/>
    <w:semiHidden/>
    <w:qFormat/>
    <w:uiPriority w:val="0"/>
    <w:rPr>
      <w:b/>
      <w:bCs/>
      <w:kern w:val="2"/>
      <w:sz w:val="28"/>
      <w:szCs w:val="28"/>
    </w:rPr>
  </w:style>
  <w:style w:type="character" w:customStyle="1" w:styleId="41">
    <w:name w:val="标题 7 字符"/>
    <w:link w:val="7"/>
    <w:qFormat/>
    <w:uiPriority w:val="0"/>
    <w:rPr>
      <w:b/>
      <w:kern w:val="2"/>
      <w:sz w:val="24"/>
      <w:szCs w:val="24"/>
    </w:rPr>
  </w:style>
  <w:style w:type="character" w:customStyle="1" w:styleId="42">
    <w:name w:val="标题 8 字符"/>
    <w:link w:val="8"/>
    <w:qFormat/>
    <w:uiPriority w:val="0"/>
    <w:rPr>
      <w:rFonts w:ascii="Arial" w:hAnsi="Arial" w:eastAsia="黑体"/>
      <w:kern w:val="2"/>
      <w:sz w:val="24"/>
      <w:szCs w:val="24"/>
    </w:rPr>
  </w:style>
  <w:style w:type="character" w:customStyle="1" w:styleId="43">
    <w:name w:val="标题 9 字符"/>
    <w:link w:val="9"/>
    <w:qFormat/>
    <w:uiPriority w:val="0"/>
    <w:rPr>
      <w:rFonts w:ascii="Arial" w:hAnsi="Arial" w:eastAsia="黑体"/>
      <w:kern w:val="2"/>
      <w:sz w:val="21"/>
      <w:szCs w:val="24"/>
    </w:rPr>
  </w:style>
  <w:style w:type="character" w:customStyle="1" w:styleId="44">
    <w:name w:val="批注文字 字符"/>
    <w:link w:val="11"/>
    <w:qFormat/>
    <w:locked/>
    <w:uiPriority w:val="0"/>
    <w:rPr>
      <w:rFonts w:ascii="Times New Roman" w:hAnsi="Times New Roman" w:eastAsia="宋体"/>
      <w:sz w:val="24"/>
    </w:rPr>
  </w:style>
  <w:style w:type="character" w:customStyle="1" w:styleId="45">
    <w:name w:val="正文文本 3 字符1"/>
    <w:link w:val="12"/>
    <w:qFormat/>
    <w:uiPriority w:val="0"/>
    <w:rPr>
      <w:kern w:val="2"/>
      <w:sz w:val="16"/>
      <w:szCs w:val="16"/>
    </w:rPr>
  </w:style>
  <w:style w:type="character" w:customStyle="1" w:styleId="46">
    <w:name w:val="正文文本 字符"/>
    <w:link w:val="13"/>
    <w:qFormat/>
    <w:locked/>
    <w:uiPriority w:val="0"/>
    <w:rPr>
      <w:sz w:val="18"/>
    </w:rPr>
  </w:style>
  <w:style w:type="character" w:customStyle="1" w:styleId="47">
    <w:name w:val="正文文本缩进 字符"/>
    <w:link w:val="16"/>
    <w:semiHidden/>
    <w:qFormat/>
    <w:locked/>
    <w:uiPriority w:val="0"/>
    <w:rPr>
      <w:rFonts w:ascii="Times New Roman" w:hAnsi="Times New Roman" w:eastAsia="宋体"/>
      <w:sz w:val="24"/>
    </w:rPr>
  </w:style>
  <w:style w:type="character" w:customStyle="1" w:styleId="48">
    <w:name w:val="日期 字符1"/>
    <w:link w:val="19"/>
    <w:qFormat/>
    <w:locked/>
    <w:uiPriority w:val="0"/>
    <w:rPr>
      <w:rFonts w:ascii="Times New Roman" w:hAnsi="Times New Roman" w:eastAsia="宋体"/>
      <w:sz w:val="24"/>
    </w:rPr>
  </w:style>
  <w:style w:type="character" w:customStyle="1" w:styleId="49">
    <w:name w:val="正文文本缩进 2 字符"/>
    <w:link w:val="20"/>
    <w:qFormat/>
    <w:uiPriority w:val="0"/>
    <w:rPr>
      <w:kern w:val="2"/>
      <w:sz w:val="21"/>
      <w:szCs w:val="24"/>
    </w:rPr>
  </w:style>
  <w:style w:type="character" w:customStyle="1" w:styleId="50">
    <w:name w:val="批注框文本 字符"/>
    <w:link w:val="21"/>
    <w:semiHidden/>
    <w:qFormat/>
    <w:locked/>
    <w:uiPriority w:val="0"/>
    <w:rPr>
      <w:rFonts w:ascii="Times New Roman" w:hAnsi="Times New Roman" w:eastAsia="宋体"/>
      <w:sz w:val="18"/>
    </w:rPr>
  </w:style>
  <w:style w:type="character" w:customStyle="1" w:styleId="51">
    <w:name w:val="页脚 字符1"/>
    <w:link w:val="22"/>
    <w:qFormat/>
    <w:locked/>
    <w:uiPriority w:val="99"/>
    <w:rPr>
      <w:sz w:val="18"/>
    </w:rPr>
  </w:style>
  <w:style w:type="character" w:customStyle="1" w:styleId="52">
    <w:name w:val="页眉 字符"/>
    <w:link w:val="23"/>
    <w:qFormat/>
    <w:locked/>
    <w:uiPriority w:val="0"/>
    <w:rPr>
      <w:sz w:val="18"/>
    </w:rPr>
  </w:style>
  <w:style w:type="character" w:customStyle="1" w:styleId="53">
    <w:name w:val="正文文本 2 字符"/>
    <w:link w:val="26"/>
    <w:qFormat/>
    <w:uiPriority w:val="0"/>
    <w:rPr>
      <w:kern w:val="2"/>
      <w:sz w:val="21"/>
      <w:szCs w:val="24"/>
    </w:rPr>
  </w:style>
  <w:style w:type="character" w:customStyle="1" w:styleId="54">
    <w:name w:val="普通(网站) 字符"/>
    <w:link w:val="27"/>
    <w:qFormat/>
    <w:locked/>
    <w:uiPriority w:val="0"/>
    <w:rPr>
      <w:rFonts w:ascii="宋体" w:hAnsi="宋体" w:eastAsia="宋体"/>
      <w:sz w:val="24"/>
    </w:rPr>
  </w:style>
  <w:style w:type="character" w:customStyle="1" w:styleId="55">
    <w:name w:val="批注主题 字符"/>
    <w:link w:val="28"/>
    <w:semiHidden/>
    <w:qFormat/>
    <w:locked/>
    <w:uiPriority w:val="0"/>
    <w:rPr>
      <w:rFonts w:ascii="Times New Roman" w:hAnsi="Times New Roman" w:eastAsia="宋体"/>
      <w:b/>
      <w:kern w:val="2"/>
      <w:sz w:val="24"/>
    </w:rPr>
  </w:style>
  <w:style w:type="character" w:customStyle="1" w:styleId="56">
    <w:name w:val="bjh-p"/>
    <w:qFormat/>
    <w:uiPriority w:val="0"/>
  </w:style>
  <w:style w:type="character" w:customStyle="1" w:styleId="57">
    <w:name w:val="正文文本 字符1"/>
    <w:semiHidden/>
    <w:qFormat/>
    <w:uiPriority w:val="0"/>
    <w:rPr>
      <w:rFonts w:ascii="Times New Roman" w:hAnsi="Times New Roman" w:eastAsia="宋体"/>
      <w:sz w:val="24"/>
    </w:rPr>
  </w:style>
  <w:style w:type="character" w:customStyle="1" w:styleId="58">
    <w:name w:val="R-正文文本 Char"/>
    <w:link w:val="59"/>
    <w:qFormat/>
    <w:uiPriority w:val="4"/>
    <w:rPr>
      <w:rFonts w:ascii="Calibri" w:hAnsi="Calibri"/>
      <w:sz w:val="24"/>
    </w:rPr>
  </w:style>
  <w:style w:type="paragraph" w:customStyle="1" w:styleId="59">
    <w:name w:val="R-正文文本"/>
    <w:basedOn w:val="1"/>
    <w:link w:val="58"/>
    <w:qFormat/>
    <w:uiPriority w:val="4"/>
    <w:pPr>
      <w:widowControl/>
      <w:spacing w:line="360" w:lineRule="auto"/>
      <w:ind w:firstLine="200" w:firstLineChars="200"/>
    </w:pPr>
    <w:rPr>
      <w:rFonts w:ascii="Calibri" w:hAnsi="Calibri"/>
      <w:kern w:val="0"/>
      <w:sz w:val="24"/>
      <w:szCs w:val="20"/>
    </w:rPr>
  </w:style>
  <w:style w:type="character" w:customStyle="1" w:styleId="60">
    <w:name w:val="正文内容 Char Char"/>
    <w:link w:val="61"/>
    <w:qFormat/>
    <w:uiPriority w:val="0"/>
    <w:rPr>
      <w:rFonts w:cs="宋体"/>
      <w:kern w:val="2"/>
      <w:sz w:val="24"/>
    </w:rPr>
  </w:style>
  <w:style w:type="paragraph" w:customStyle="1" w:styleId="61">
    <w:name w:val="正文内容"/>
    <w:basedOn w:val="1"/>
    <w:link w:val="60"/>
    <w:qFormat/>
    <w:uiPriority w:val="0"/>
    <w:pPr>
      <w:spacing w:line="360" w:lineRule="auto"/>
      <w:ind w:firstLine="200" w:firstLineChars="200"/>
    </w:pPr>
    <w:rPr>
      <w:rFonts w:cs="宋体"/>
      <w:sz w:val="24"/>
      <w:szCs w:val="20"/>
    </w:rPr>
  </w:style>
  <w:style w:type="character" w:customStyle="1" w:styleId="62">
    <w:name w:val="表格 Char"/>
    <w:link w:val="63"/>
    <w:qFormat/>
    <w:locked/>
    <w:uiPriority w:val="0"/>
    <w:rPr>
      <w:rFonts w:ascii="宋体"/>
      <w:sz w:val="21"/>
    </w:rPr>
  </w:style>
  <w:style w:type="paragraph" w:customStyle="1" w:styleId="63">
    <w:name w:val="表格"/>
    <w:basedOn w:val="1"/>
    <w:next w:val="1"/>
    <w:link w:val="62"/>
    <w:qFormat/>
    <w:uiPriority w:val="0"/>
    <w:pPr>
      <w:adjustRightInd w:val="0"/>
      <w:snapToGrid w:val="0"/>
      <w:spacing w:beforeLines="10" w:afterLines="10" w:line="259" w:lineRule="auto"/>
      <w:jc w:val="center"/>
    </w:pPr>
    <w:rPr>
      <w:rFonts w:ascii="宋体"/>
      <w:kern w:val="0"/>
      <w:szCs w:val="20"/>
    </w:rPr>
  </w:style>
  <w:style w:type="character" w:customStyle="1" w:styleId="64">
    <w:name w:val="1兴业正文 Char"/>
    <w:link w:val="65"/>
    <w:qFormat/>
    <w:uiPriority w:val="0"/>
  </w:style>
  <w:style w:type="paragraph" w:customStyle="1" w:styleId="65">
    <w:name w:val="1兴业正文"/>
    <w:basedOn w:val="1"/>
    <w:link w:val="64"/>
    <w:qFormat/>
    <w:uiPriority w:val="0"/>
    <w:pPr>
      <w:adjustRightInd w:val="0"/>
      <w:snapToGrid w:val="0"/>
      <w:spacing w:line="360" w:lineRule="auto"/>
      <w:ind w:firstLine="420" w:firstLineChars="200"/>
    </w:pPr>
    <w:rPr>
      <w:kern w:val="0"/>
      <w:sz w:val="20"/>
      <w:szCs w:val="20"/>
    </w:rPr>
  </w:style>
  <w:style w:type="character" w:customStyle="1" w:styleId="66">
    <w:name w:val="表头（书） Char"/>
    <w:link w:val="67"/>
    <w:qFormat/>
    <w:uiPriority w:val="0"/>
    <w:rPr>
      <w:b/>
      <w:bCs/>
      <w:kern w:val="2"/>
      <w:sz w:val="24"/>
      <w:szCs w:val="24"/>
    </w:rPr>
  </w:style>
  <w:style w:type="paragraph" w:customStyle="1" w:styleId="67">
    <w:name w:val="表头（书）"/>
    <w:basedOn w:val="6"/>
    <w:next w:val="1"/>
    <w:link w:val="66"/>
    <w:qFormat/>
    <w:uiPriority w:val="0"/>
    <w:pPr>
      <w:tabs>
        <w:tab w:val="left" w:pos="2268"/>
      </w:tabs>
      <w:adjustRightInd w:val="0"/>
      <w:snapToGrid w:val="0"/>
      <w:spacing w:before="0" w:after="0" w:line="240" w:lineRule="auto"/>
      <w:jc w:val="center"/>
    </w:pPr>
    <w:rPr>
      <w:sz w:val="24"/>
      <w:szCs w:val="24"/>
    </w:rPr>
  </w:style>
  <w:style w:type="character" w:customStyle="1" w:styleId="68">
    <w:name w:val="日期 字符"/>
    <w:semiHidden/>
    <w:qFormat/>
    <w:uiPriority w:val="0"/>
    <w:rPr>
      <w:rFonts w:ascii="Times New Roman" w:hAnsi="Times New Roman" w:eastAsia="宋体"/>
      <w:sz w:val="24"/>
    </w:rPr>
  </w:style>
  <w:style w:type="character" w:customStyle="1" w:styleId="69">
    <w:name w:val="页脚 字符"/>
    <w:qFormat/>
    <w:uiPriority w:val="99"/>
  </w:style>
  <w:style w:type="character" w:customStyle="1" w:styleId="70">
    <w:name w:val="批注文字 字符1"/>
    <w:semiHidden/>
    <w:qFormat/>
    <w:uiPriority w:val="0"/>
    <w:rPr>
      <w:rFonts w:ascii="Times New Roman" w:hAnsi="Times New Roman" w:eastAsia="宋体"/>
      <w:sz w:val="24"/>
    </w:rPr>
  </w:style>
  <w:style w:type="character" w:customStyle="1" w:styleId="71">
    <w:name w:val="R-表中文字 Char"/>
    <w:link w:val="72"/>
    <w:qFormat/>
    <w:uiPriority w:val="6"/>
    <w:rPr>
      <w:rFonts w:ascii="Calibri" w:hAnsi="Calibri"/>
      <w:kern w:val="2"/>
      <w:sz w:val="21"/>
      <w:szCs w:val="21"/>
    </w:rPr>
  </w:style>
  <w:style w:type="paragraph" w:customStyle="1" w:styleId="72">
    <w:name w:val="R-表中文字"/>
    <w:basedOn w:val="1"/>
    <w:link w:val="71"/>
    <w:qFormat/>
    <w:uiPriority w:val="6"/>
    <w:pPr>
      <w:widowControl/>
      <w:jc w:val="center"/>
    </w:pPr>
    <w:rPr>
      <w:rFonts w:ascii="Calibri" w:hAnsi="Calibri"/>
      <w:szCs w:val="21"/>
    </w:rPr>
  </w:style>
  <w:style w:type="character" w:customStyle="1" w:styleId="73">
    <w:name w:val="报告书正文 Char Char"/>
    <w:link w:val="74"/>
    <w:qFormat/>
    <w:locked/>
    <w:uiPriority w:val="0"/>
    <w:rPr>
      <w:sz w:val="24"/>
      <w:szCs w:val="28"/>
    </w:rPr>
  </w:style>
  <w:style w:type="paragraph" w:customStyle="1" w:styleId="74">
    <w:name w:val="报告书正文"/>
    <w:basedOn w:val="1"/>
    <w:link w:val="73"/>
    <w:qFormat/>
    <w:uiPriority w:val="0"/>
    <w:pPr>
      <w:adjustRightInd w:val="0"/>
      <w:snapToGrid w:val="0"/>
      <w:spacing w:line="360" w:lineRule="auto"/>
      <w:ind w:firstLine="480" w:firstLineChars="200"/>
      <w:jc w:val="left"/>
    </w:pPr>
    <w:rPr>
      <w:kern w:val="0"/>
      <w:sz w:val="24"/>
      <w:szCs w:val="28"/>
    </w:rPr>
  </w:style>
  <w:style w:type="character" w:customStyle="1" w:styleId="75">
    <w:name w:val="博士论文正文 Char2"/>
    <w:link w:val="76"/>
    <w:qFormat/>
    <w:uiPriority w:val="0"/>
    <w:rPr>
      <w:rFonts w:ascii="宋体"/>
      <w:sz w:val="24"/>
      <w:szCs w:val="22"/>
    </w:rPr>
  </w:style>
  <w:style w:type="paragraph" w:customStyle="1" w:styleId="76">
    <w:name w:val="博士论文正文"/>
    <w:basedOn w:val="1"/>
    <w:link w:val="75"/>
    <w:qFormat/>
    <w:uiPriority w:val="0"/>
    <w:pPr>
      <w:snapToGrid w:val="0"/>
      <w:spacing w:beforeLines="20" w:line="360" w:lineRule="auto"/>
      <w:ind w:firstLine="200" w:firstLineChars="200"/>
      <w:contextualSpacing/>
    </w:pPr>
    <w:rPr>
      <w:rFonts w:ascii="宋体"/>
      <w:kern w:val="0"/>
      <w:sz w:val="24"/>
      <w:szCs w:val="22"/>
    </w:rPr>
  </w:style>
  <w:style w:type="character" w:customStyle="1" w:styleId="77">
    <w:name w:val="白城富达钢铁项目正文 Char Char"/>
    <w:link w:val="78"/>
    <w:qFormat/>
    <w:uiPriority w:val="0"/>
    <w:rPr>
      <w:color w:val="000000"/>
      <w:sz w:val="21"/>
      <w:szCs w:val="24"/>
    </w:rPr>
  </w:style>
  <w:style w:type="paragraph" w:customStyle="1" w:styleId="78">
    <w:name w:val="报告正文"/>
    <w:basedOn w:val="1"/>
    <w:link w:val="77"/>
    <w:qFormat/>
    <w:uiPriority w:val="0"/>
    <w:pPr>
      <w:tabs>
        <w:tab w:val="left" w:pos="0"/>
      </w:tabs>
      <w:adjustRightInd w:val="0"/>
      <w:snapToGrid w:val="0"/>
    </w:pPr>
    <w:rPr>
      <w:color w:val="000000"/>
      <w:kern w:val="0"/>
    </w:rPr>
  </w:style>
  <w:style w:type="character" w:customStyle="1" w:styleId="79">
    <w:name w:val="表格 字符"/>
    <w:qFormat/>
    <w:locked/>
    <w:uiPriority w:val="0"/>
    <w:rPr>
      <w:rFonts w:ascii="仿宋_GB2312" w:hAnsi="Times New Roman" w:eastAsia="仿宋_GB2312" w:cs="Times New Roman"/>
      <w:bCs/>
      <w:color w:val="000000"/>
      <w:kern w:val="0"/>
      <w:sz w:val="21"/>
      <w:szCs w:val="21"/>
    </w:rPr>
  </w:style>
  <w:style w:type="character" w:customStyle="1" w:styleId="80">
    <w:name w:val="2兴业表格 Char"/>
    <w:link w:val="81"/>
    <w:qFormat/>
    <w:uiPriority w:val="0"/>
    <w:rPr>
      <w:sz w:val="21"/>
      <w:szCs w:val="21"/>
    </w:rPr>
  </w:style>
  <w:style w:type="paragraph" w:customStyle="1" w:styleId="81">
    <w:name w:val="2兴业表格"/>
    <w:basedOn w:val="1"/>
    <w:link w:val="80"/>
    <w:qFormat/>
    <w:uiPriority w:val="0"/>
    <w:pPr>
      <w:adjustRightInd w:val="0"/>
      <w:snapToGrid w:val="0"/>
      <w:jc w:val="center"/>
    </w:pPr>
    <w:rPr>
      <w:kern w:val="0"/>
      <w:szCs w:val="21"/>
    </w:rPr>
  </w:style>
  <w:style w:type="character" w:customStyle="1" w:styleId="82">
    <w:name w:val="fontstyle01"/>
    <w:qFormat/>
    <w:uiPriority w:val="0"/>
    <w:rPr>
      <w:rFonts w:ascii="仿宋" w:hAnsi="仿宋" w:eastAsia="仿宋" w:cs="仿宋"/>
      <w:color w:val="000000"/>
      <w:sz w:val="30"/>
      <w:szCs w:val="30"/>
    </w:rPr>
  </w:style>
  <w:style w:type="paragraph" w:customStyle="1" w:styleId="83">
    <w:name w:val="表头"/>
    <w:basedOn w:val="84"/>
    <w:next w:val="18"/>
    <w:qFormat/>
    <w:uiPriority w:val="0"/>
    <w:pPr>
      <w:spacing w:before="156" w:beforeLines="50" w:line="360" w:lineRule="exact"/>
      <w:jc w:val="center"/>
    </w:pPr>
    <w:rPr>
      <w:rFonts w:cs="宋体"/>
      <w:b/>
      <w:bCs/>
      <w:sz w:val="28"/>
      <w:szCs w:val="20"/>
    </w:rPr>
  </w:style>
  <w:style w:type="paragraph" w:customStyle="1" w:styleId="84">
    <w:name w:val="样式4"/>
    <w:basedOn w:val="1"/>
    <w:qFormat/>
    <w:uiPriority w:val="0"/>
    <w:pPr>
      <w:adjustRightInd w:val="0"/>
      <w:snapToGrid w:val="0"/>
      <w:jc w:val="center"/>
    </w:pPr>
    <w:rPr>
      <w:sz w:val="24"/>
      <w:szCs w:val="20"/>
    </w:rPr>
  </w:style>
  <w:style w:type="paragraph" w:customStyle="1" w:styleId="85">
    <w:name w:val="于小涵 书 表头"/>
    <w:basedOn w:val="6"/>
    <w:next w:val="1"/>
    <w:qFormat/>
    <w:uiPriority w:val="0"/>
    <w:pPr>
      <w:tabs>
        <w:tab w:val="left" w:pos="2693"/>
        <w:tab w:val="left" w:pos="3260"/>
        <w:tab w:val="left" w:pos="4110"/>
      </w:tabs>
      <w:adjustRightInd w:val="0"/>
      <w:snapToGrid w:val="0"/>
      <w:spacing w:before="0" w:after="0" w:line="240" w:lineRule="auto"/>
      <w:jc w:val="center"/>
    </w:pPr>
    <w:rPr>
      <w:rFonts w:eastAsia="宋体"/>
      <w:sz w:val="24"/>
      <w:szCs w:val="24"/>
    </w:rPr>
  </w:style>
  <w:style w:type="paragraph" w:customStyle="1" w:styleId="8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7">
    <w:name w:val="正文格式"/>
    <w:basedOn w:val="1"/>
    <w:next w:val="1"/>
    <w:qFormat/>
    <w:uiPriority w:val="0"/>
    <w:pPr>
      <w:adjustRightInd w:val="0"/>
      <w:snapToGrid w:val="0"/>
      <w:spacing w:line="360" w:lineRule="auto"/>
      <w:ind w:firstLine="482" w:firstLineChars="200"/>
      <w:jc w:val="left"/>
    </w:pPr>
    <w:rPr>
      <w:sz w:val="24"/>
    </w:rPr>
  </w:style>
  <w:style w:type="paragraph" w:customStyle="1" w:styleId="88">
    <w:name w:val="3兴业表格标题"/>
    <w:basedOn w:val="1"/>
    <w:qFormat/>
    <w:uiPriority w:val="0"/>
    <w:pPr>
      <w:adjustRightInd w:val="0"/>
      <w:snapToGrid w:val="0"/>
      <w:jc w:val="center"/>
    </w:pPr>
    <w:rPr>
      <w:rFonts w:eastAsia="仿宋" w:cs="Arial"/>
      <w:b/>
      <w:sz w:val="24"/>
    </w:rPr>
  </w:style>
  <w:style w:type="paragraph" w:customStyle="1" w:styleId="89">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1">
    <w:name w:val="表头（表） Char"/>
    <w:link w:val="92"/>
    <w:qFormat/>
    <w:uiPriority w:val="0"/>
    <w:rPr>
      <w:b/>
      <w:sz w:val="24"/>
    </w:rPr>
  </w:style>
  <w:style w:type="paragraph" w:customStyle="1" w:styleId="92">
    <w:name w:val="表头（表）"/>
    <w:basedOn w:val="1"/>
    <w:link w:val="91"/>
    <w:qFormat/>
    <w:uiPriority w:val="0"/>
    <w:pPr>
      <w:tabs>
        <w:tab w:val="left" w:pos="0"/>
      </w:tabs>
      <w:jc w:val="center"/>
    </w:pPr>
    <w:rPr>
      <w:b/>
      <w:kern w:val="0"/>
      <w:sz w:val="24"/>
      <w:szCs w:val="20"/>
    </w:rPr>
  </w:style>
  <w:style w:type="character" w:customStyle="1" w:styleId="93">
    <w:name w:val="正文文本 3 字符"/>
    <w:qFormat/>
    <w:uiPriority w:val="0"/>
    <w:rPr>
      <w:kern w:val="2"/>
      <w:sz w:val="16"/>
      <w:szCs w:val="16"/>
    </w:rPr>
  </w:style>
  <w:style w:type="paragraph" w:customStyle="1" w:styleId="94">
    <w:name w:val="xl3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95">
    <w:name w:val="bgb表头"/>
    <w:basedOn w:val="1"/>
    <w:next w:val="1"/>
    <w:qFormat/>
    <w:uiPriority w:val="0"/>
    <w:pPr>
      <w:adjustRightInd w:val="0"/>
      <w:snapToGrid w:val="0"/>
      <w:spacing w:line="480" w:lineRule="exact"/>
      <w:contextualSpacing/>
      <w:jc w:val="center"/>
    </w:pPr>
    <w:rPr>
      <w:color w:val="000000"/>
      <w:kern w:val="0"/>
      <w:sz w:val="24"/>
      <w:szCs w:val="21"/>
    </w:rPr>
  </w:style>
  <w:style w:type="character" w:customStyle="1" w:styleId="96">
    <w:name w:val="表格标题 Char"/>
    <w:link w:val="97"/>
    <w:qFormat/>
    <w:uiPriority w:val="0"/>
    <w:rPr>
      <w:rFonts w:eastAsia="黑体"/>
      <w:kern w:val="2"/>
      <w:sz w:val="24"/>
      <w:szCs w:val="24"/>
    </w:rPr>
  </w:style>
  <w:style w:type="paragraph" w:customStyle="1" w:styleId="97">
    <w:name w:val="表格标题"/>
    <w:basedOn w:val="1"/>
    <w:next w:val="1"/>
    <w:link w:val="96"/>
    <w:qFormat/>
    <w:uiPriority w:val="0"/>
    <w:pPr>
      <w:spacing w:beforeLines="50" w:afterLines="50" w:line="440" w:lineRule="exact"/>
      <w:jc w:val="left"/>
    </w:pPr>
    <w:rPr>
      <w:rFonts w:eastAsia="黑体"/>
      <w:sz w:val="24"/>
    </w:rPr>
  </w:style>
  <w:style w:type="paragraph" w:customStyle="1" w:styleId="98">
    <w:name w:val="图名"/>
    <w:basedOn w:val="1"/>
    <w:qFormat/>
    <w:uiPriority w:val="0"/>
    <w:pPr>
      <w:spacing w:line="300" w:lineRule="auto"/>
      <w:ind w:firstLine="482" w:firstLineChars="200"/>
      <w:jc w:val="center"/>
    </w:pPr>
    <w:rPr>
      <w:rFonts w:ascii="宋体" w:hAnsi="宋体" w:cs="宋体"/>
      <w:b/>
      <w:bCs/>
      <w:kern w:val="0"/>
      <w:sz w:val="24"/>
      <w:szCs w:val="20"/>
    </w:rPr>
  </w:style>
  <w:style w:type="paragraph" w:customStyle="1" w:styleId="99">
    <w:name w:val="表内文字"/>
    <w:qFormat/>
    <w:uiPriority w:val="0"/>
    <w:pPr>
      <w:spacing w:line="300" w:lineRule="auto"/>
      <w:ind w:firstLine="200" w:firstLineChars="200"/>
      <w:jc w:val="both"/>
    </w:pPr>
    <w:rPr>
      <w:rFonts w:ascii="Times New Roman" w:hAnsi="Times New Roman" w:eastAsia="宋体" w:cs="Times New Roman"/>
      <w:color w:val="000000"/>
      <w:sz w:val="21"/>
      <w:lang w:val="en-US" w:eastAsia="zh-CN" w:bidi="ar-SA"/>
    </w:rPr>
  </w:style>
  <w:style w:type="paragraph" w:customStyle="1" w:styleId="100">
    <w:name w:val="Default"/>
    <w:basedOn w:val="101"/>
    <w:next w:val="1"/>
    <w:qFormat/>
    <w:uiPriority w:val="0"/>
    <w:pPr>
      <w:autoSpaceDE w:val="0"/>
      <w:autoSpaceDN w:val="0"/>
      <w:adjustRightInd w:val="0"/>
      <w:spacing w:line="240" w:lineRule="atLeast"/>
      <w:jc w:val="center"/>
    </w:pPr>
    <w:rPr>
      <w:rFonts w:ascii="宋体" w:hAnsi="Calibri" w:eastAsia="宋体" w:cs="宋体"/>
      <w:color w:val="000000"/>
      <w:sz w:val="24"/>
    </w:rPr>
  </w:style>
  <w:style w:type="paragraph" w:customStyle="1" w:styleId="101">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102">
    <w:name w:val="Table Text"/>
    <w:basedOn w:val="1"/>
    <w:semiHidden/>
    <w:qFormat/>
    <w:uiPriority w:val="0"/>
    <w:rPr>
      <w:rFonts w:ascii="宋体" w:hAnsi="宋体" w:cs="宋体"/>
      <w:sz w:val="24"/>
      <w:lang w:eastAsia="en-US"/>
    </w:rPr>
  </w:style>
  <w:style w:type="table" w:customStyle="1" w:styleId="103">
    <w:name w:val="Table Normal"/>
    <w:unhideWhenUsed/>
    <w:qFormat/>
    <w:uiPriority w:val="0"/>
    <w:rPr>
      <w:lang w:val="en-US" w:eastAsia="zh-CN" w:bidi="ar-SA"/>
    </w:rPr>
    <w:tblPr>
      <w:tblLayout w:type="fixed"/>
      <w:tblCellMar>
        <w:top w:w="0" w:type="dxa"/>
        <w:left w:w="0" w:type="dxa"/>
        <w:bottom w:w="0" w:type="dxa"/>
        <w:right w:w="0" w:type="dxa"/>
      </w:tblCellMar>
    </w:tblPr>
  </w:style>
  <w:style w:type="paragraph" w:customStyle="1" w:styleId="104">
    <w:name w:val=" Char"/>
    <w:basedOn w:val="1"/>
    <w:qFormat/>
    <w:uiPriority w:val="0"/>
    <w:pPr>
      <w:adjustRightInd w:val="0"/>
      <w:spacing w:line="360" w:lineRule="auto"/>
    </w:pPr>
    <w:rPr>
      <w:kern w:val="0"/>
      <w:sz w:val="24"/>
      <w:szCs w:val="20"/>
    </w:rPr>
  </w:style>
  <w:style w:type="paragraph" w:customStyle="1" w:styleId="105">
    <w:name w:val="表格内容格式"/>
    <w:basedOn w:val="1"/>
    <w:qFormat/>
    <w:uiPriority w:val="0"/>
    <w:pPr>
      <w:adjustRightInd w:val="0"/>
      <w:jc w:val="center"/>
      <w:textAlignment w:val="baseline"/>
    </w:pPr>
    <w:rPr>
      <w:rFonts w:ascii="宋体" w:hAnsi="宋体"/>
      <w:snapToGrid w:val="0"/>
      <w:color w:val="000000"/>
      <w:kern w:val="0"/>
      <w:sz w:val="18"/>
      <w:szCs w:val="18"/>
    </w:rPr>
  </w:style>
  <w:style w:type="paragraph" w:customStyle="1" w:styleId="106">
    <w:name w:val="正文(首行缩进)"/>
    <w:basedOn w:val="1"/>
    <w:qFormat/>
    <w:uiPriority w:val="0"/>
    <w:pPr>
      <w:spacing w:line="300" w:lineRule="auto"/>
      <w:ind w:firstLine="200" w:firstLineChars="200"/>
    </w:pPr>
    <w:rPr>
      <w:snapToGrid w:val="0"/>
      <w:color w:val="000000"/>
      <w:kern w:val="0"/>
      <w:sz w:val="24"/>
    </w:rPr>
  </w:style>
  <w:style w:type="paragraph" w:customStyle="1" w:styleId="107">
    <w:name w:val="01正文"/>
    <w:basedOn w:val="1"/>
    <w:qFormat/>
    <w:uiPriority w:val="0"/>
    <w:pPr>
      <w:adjustRightInd w:val="0"/>
      <w:snapToGrid w:val="0"/>
      <w:ind w:firstLine="200" w:firstLineChars="200"/>
    </w:pPr>
    <w:rPr>
      <w:color w:val="3333FF"/>
    </w:rPr>
  </w:style>
  <w:style w:type="table" w:customStyle="1" w:styleId="108">
    <w:name w:val="表格式4"/>
    <w:basedOn w:val="30"/>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9">
    <w:name w:val="TOC 标题2"/>
    <w:basedOn w:val="2"/>
    <w:next w:val="1"/>
    <w:unhideWhenUsed/>
    <w:qFormat/>
    <w:uiPriority w:val="39"/>
    <w:pPr>
      <w:keepLines/>
      <w:widowControl/>
      <w:overflowPunct/>
      <w:snapToGrid/>
      <w:spacing w:before="240" w:after="0"/>
      <w:ind w:left="0" w:firstLine="0"/>
      <w:jc w:val="left"/>
      <w:outlineLvl w:val="9"/>
    </w:pPr>
    <w:rPr>
      <w:rFonts w:ascii="Cambria" w:hAnsi="Cambria" w:eastAsia="宋体"/>
      <w:b w:val="0"/>
      <w:bCs w:val="0"/>
      <w:color w:val="366091"/>
      <w:kern w:val="0"/>
      <w:sz w:val="32"/>
      <w:szCs w:val="32"/>
    </w:rPr>
  </w:style>
  <w:style w:type="paragraph" w:customStyle="1" w:styleId="110">
    <w:name w:val="_Style 109"/>
    <w:unhideWhenUsed/>
    <w:qFormat/>
    <w:uiPriority w:val="99"/>
    <w:rPr>
      <w:rFonts w:ascii="Times New Roman" w:hAnsi="Times New Roman" w:eastAsia="宋体" w:cs="Times New Roman"/>
      <w:kern w:val="2"/>
      <w:sz w:val="21"/>
      <w:szCs w:val="24"/>
      <w:lang w:val="en-US" w:eastAsia="zh-CN" w:bidi="ar-SA"/>
    </w:rPr>
  </w:style>
  <w:style w:type="paragraph" w:customStyle="1" w:styleId="111">
    <w:name w:val="Table Paragraph"/>
    <w:qFormat/>
    <w:uiPriority w:val="0"/>
    <w:pPr>
      <w:widowControl w:val="0"/>
      <w:autoSpaceDE w:val="0"/>
      <w:autoSpaceDN w:val="0"/>
      <w:jc w:val="center"/>
    </w:pPr>
    <w:rPr>
      <w:rFonts w:ascii="仿宋" w:hAnsi="仿宋" w:eastAsia="仿宋" w:cs="仿宋"/>
      <w:sz w:val="22"/>
      <w:szCs w:val="22"/>
      <w:lang w:val="zh-CN" w:eastAsia="zh-CN"/>
    </w:rPr>
  </w:style>
  <w:style w:type="paragraph" w:customStyle="1" w:styleId="112">
    <w:name w:val="11111"/>
    <w:basedOn w:val="1"/>
    <w:next w:val="1"/>
    <w:qFormat/>
    <w:uiPriority w:val="99"/>
    <w:pPr>
      <w:spacing w:line="360" w:lineRule="auto"/>
      <w:ind w:firstLine="200" w:firstLineChars="200"/>
    </w:pPr>
    <w:rPr>
      <w:rFonts w:ascii="宋体" w:hAnsi="宋体" w:cs="宋体"/>
      <w:sz w:val="24"/>
      <w:szCs w:val="24"/>
    </w:rPr>
  </w:style>
  <w:style w:type="paragraph" w:customStyle="1" w:styleId="113">
    <w:name w:val="【表头】"/>
    <w:basedOn w:val="114"/>
    <w:next w:val="1"/>
    <w:qFormat/>
    <w:uiPriority w:val="0"/>
    <w:pPr>
      <w:adjustRightInd w:val="0"/>
      <w:snapToGrid w:val="0"/>
      <w:jc w:val="center"/>
    </w:pPr>
    <w:rPr>
      <w:rFonts w:ascii="Times New Roman" w:hAnsi="Times New Roman" w:eastAsia="黑体" w:cs="Times New Roman"/>
      <w:sz w:val="24"/>
    </w:rPr>
  </w:style>
  <w:style w:type="paragraph" w:customStyle="1" w:styleId="114">
    <w:name w:val="0"/>
    <w:basedOn w:val="1"/>
    <w:qFormat/>
    <w:uiPriority w:val="99"/>
    <w:pPr>
      <w:widowControl/>
      <w:snapToGrid w:val="0"/>
      <w:jc w:val="left"/>
    </w:pPr>
    <w:rPr>
      <w:rFonts w:ascii="宋体"/>
      <w:kern w:val="0"/>
      <w:sz w:val="20"/>
      <w:szCs w:val="20"/>
    </w:rPr>
  </w:style>
  <w:style w:type="paragraph" w:customStyle="1" w:styleId="115">
    <w:name w:val="正文00"/>
    <w:basedOn w:val="1"/>
    <w:next w:val="116"/>
    <w:qFormat/>
    <w:uiPriority w:val="0"/>
    <w:pPr>
      <w:widowControl/>
      <w:spacing w:line="425" w:lineRule="atLeast"/>
      <w:ind w:left="107" w:leftChars="51" w:right="124" w:rightChars="59" w:firstLine="480"/>
      <w:textAlignment w:val="baseline"/>
    </w:pPr>
    <w:rPr>
      <w:kern w:val="0"/>
      <w:sz w:val="28"/>
      <w:u w:val="none" w:color="000000"/>
    </w:rPr>
  </w:style>
  <w:style w:type="paragraph" w:customStyle="1" w:styleId="116">
    <w:name w:val="样式 Times New Roman 五号 居中1"/>
    <w:basedOn w:val="1"/>
    <w:next w:val="83"/>
    <w:qFormat/>
    <w:uiPriority w:val="99"/>
    <w:pPr>
      <w:jc w:val="center"/>
    </w:pPr>
    <w:rPr>
      <w:rFonts w:ascii="Times New Roman" w:hAnsi="Times New Roman" w:cs="宋体"/>
      <w:szCs w:val="21"/>
    </w:rPr>
  </w:style>
  <w:style w:type="paragraph" w:customStyle="1" w:styleId="117">
    <w:name w:val="0表格文字"/>
    <w:basedOn w:val="118"/>
    <w:next w:val="118"/>
    <w:qFormat/>
    <w:uiPriority w:val="0"/>
    <w:pPr>
      <w:topLinePunct/>
      <w:autoSpaceDE/>
      <w:autoSpaceDN/>
      <w:adjustRightInd/>
      <w:spacing w:line="240" w:lineRule="auto"/>
      <w:ind w:firstLine="0" w:firstLineChars="0"/>
      <w:jc w:val="center"/>
    </w:pPr>
    <w:rPr>
      <w:rFonts w:ascii="Times New Roman" w:hAnsi="Times New Roman" w:eastAsia="宋体" w:cs="宋体"/>
      <w:sz w:val="21"/>
      <w:szCs w:val="21"/>
    </w:rPr>
  </w:style>
  <w:style w:type="paragraph" w:customStyle="1" w:styleId="118">
    <w:name w:val="00通用正文"/>
    <w:basedOn w:val="1"/>
    <w:qFormat/>
    <w:uiPriority w:val="0"/>
    <w:pPr>
      <w:widowControl w:val="0"/>
      <w:wordWrap w:val="0"/>
      <w:spacing w:after="0" w:line="360" w:lineRule="auto"/>
      <w:ind w:firstLine="420" w:firstLineChars="200"/>
      <w:jc w:val="left"/>
    </w:pPr>
    <w:rPr>
      <w:rFonts w:ascii="Times New Roman" w:hAnsi="Times New Roman" w:eastAsia="宋体" w:cstheme="minorBidi"/>
      <w:color w:val="000000"/>
      <w:szCs w:val="24"/>
    </w:rPr>
  </w:style>
  <w:style w:type="paragraph" w:customStyle="1" w:styleId="119">
    <w:name w:val="表中文字（工大）"/>
    <w:basedOn w:val="1"/>
    <w:qFormat/>
    <w:uiPriority w:val="0"/>
    <w:pPr>
      <w:spacing w:line="400" w:lineRule="exact"/>
      <w:jc w:val="center"/>
    </w:pPr>
    <w:rPr>
      <w:szCs w:val="20"/>
    </w:rPr>
  </w:style>
  <w:style w:type="paragraph" w:customStyle="1" w:styleId="120">
    <w:name w:val="Char Char Char Char Char Char Char2"/>
    <w:basedOn w:val="1"/>
    <w:qFormat/>
    <w:uiPriority w:val="0"/>
    <w:pPr>
      <w:snapToGrid w:val="0"/>
      <w:spacing w:line="360" w:lineRule="auto"/>
      <w:ind w:firstLine="529" w:firstLineChars="200"/>
    </w:pPr>
  </w:style>
  <w:style w:type="paragraph" w:customStyle="1" w:styleId="121">
    <w:name w:val="表格中文字"/>
    <w:basedOn w:val="1"/>
    <w:qFormat/>
    <w:uiPriority w:val="0"/>
    <w:pPr>
      <w:adjustRightInd w:val="0"/>
      <w:snapToGrid w:val="0"/>
      <w:spacing w:line="360" w:lineRule="exact"/>
      <w:jc w:val="center"/>
    </w:pPr>
    <w:rPr>
      <w:rFonts w:ascii="宋体" w:hAnsi="Calibri"/>
      <w:color w:val="000000"/>
      <w:kern w:val="0"/>
      <w:szCs w:val="21"/>
    </w:rPr>
  </w:style>
  <w:style w:type="paragraph" w:customStyle="1" w:styleId="122">
    <w:name w:val="表格文字"/>
    <w:basedOn w:val="13"/>
    <w:qFormat/>
    <w:uiPriority w:val="0"/>
    <w:pPr>
      <w:spacing w:after="0" w:line="460" w:lineRule="exact"/>
      <w:jc w:val="center"/>
    </w:pPr>
    <w:rPr>
      <w:rFonts w:eastAsia="楷体_GB2312"/>
      <w:sz w:val="24"/>
    </w:rPr>
  </w:style>
  <w:style w:type="paragraph" w:customStyle="1" w:styleId="123">
    <w:name w:val="【表中文字】"/>
    <w:basedOn w:val="1"/>
    <w:qFormat/>
    <w:uiPriority w:val="0"/>
    <w:pPr>
      <w:adjustRightInd w:val="0"/>
      <w:snapToGrid w:val="0"/>
      <w:jc w:val="center"/>
    </w:pPr>
    <w:rPr>
      <w:rFonts w:ascii="Times New Roman" w:hAnsi="Times New Roman"/>
      <w:szCs w:val="20"/>
    </w:rPr>
  </w:style>
  <w:style w:type="paragraph" w:customStyle="1" w:styleId="124">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125">
    <w:name w:val="xl27"/>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0"/>
    </w:rPr>
  </w:style>
  <w:style w:type="paragraph" w:customStyle="1" w:styleId="126">
    <w:name w:val="样式 正文首行缩进 + 首行缩进:  2 字符1"/>
    <w:basedOn w:val="1"/>
    <w:next w:val="24"/>
    <w:qFormat/>
    <w:uiPriority w:val="0"/>
    <w:pPr>
      <w:spacing w:line="360" w:lineRule="auto"/>
      <w:ind w:firstLine="480" w:firstLineChars="200"/>
    </w:pPr>
    <w:rPr>
      <w:sz w:val="24"/>
    </w:rPr>
  </w:style>
  <w:style w:type="paragraph" w:customStyle="1" w:styleId="127">
    <w:name w:val="a正文"/>
    <w:basedOn w:val="87"/>
    <w:qFormat/>
    <w:uiPriority w:val="0"/>
    <w:pPr>
      <w:spacing w:line="520" w:lineRule="exact"/>
      <w:ind w:firstLine="200"/>
    </w:pPr>
    <w:rPr>
      <w:rFonts w:cs="Times New Roman"/>
    </w:rPr>
  </w:style>
  <w:style w:type="paragraph" w:customStyle="1" w:styleId="128">
    <w:name w:val="正文1"/>
    <w:next w:v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129">
    <w:name w:val="【正文】"/>
    <w:basedOn w:val="1"/>
    <w:qFormat/>
    <w:uiPriority w:val="0"/>
    <w:pPr>
      <w:spacing w:line="520" w:lineRule="exact"/>
      <w:ind w:firstLine="200" w:firstLineChars="200"/>
    </w:pPr>
    <w:rPr>
      <w:sz w:val="24"/>
    </w:rPr>
  </w:style>
  <w:style w:type="character" w:customStyle="1" w:styleId="130">
    <w:name w:val="font21"/>
    <w:basedOn w:val="32"/>
    <w:qFormat/>
    <w:uiPriority w:val="0"/>
    <w:rPr>
      <w:rFonts w:hint="default" w:ascii="Times New Roman" w:hAnsi="Times New Roman" w:cs="Times New Roman"/>
      <w:color w:val="000000"/>
      <w:sz w:val="21"/>
      <w:szCs w:val="21"/>
      <w:u w:val="none"/>
    </w:rPr>
  </w:style>
  <w:style w:type="character" w:customStyle="1" w:styleId="131">
    <w:name w:val="font11"/>
    <w:basedOn w:val="32"/>
    <w:qFormat/>
    <w:uiPriority w:val="0"/>
    <w:rPr>
      <w:rFonts w:hint="eastAsia" w:ascii="宋体" w:hAnsi="宋体" w:eastAsia="宋体" w:cs="宋体"/>
      <w:color w:val="000000"/>
      <w:sz w:val="21"/>
      <w:szCs w:val="21"/>
      <w:u w:val="none"/>
    </w:rPr>
  </w:style>
  <w:style w:type="paragraph" w:customStyle="1" w:styleId="132">
    <w:name w:val="表格填充项"/>
    <w:basedOn w:val="1"/>
    <w:qFormat/>
    <w:uiPriority w:val="0"/>
    <w:pPr>
      <w:spacing w:line="240" w:lineRule="atLeast"/>
      <w:jc w:val="center"/>
    </w:pPr>
    <w:rPr>
      <w:rFonts w:ascii="宋体" w:hAnsi="宋体" w:cs="Times New Roman"/>
      <w:b/>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2.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oleObject" Target="embeddings/oleObject10.bin"/><Relationship Id="rId40" Type="http://schemas.openxmlformats.org/officeDocument/2006/relationships/image" Target="media/image22.png"/><Relationship Id="rId4" Type="http://schemas.openxmlformats.org/officeDocument/2006/relationships/footer" Target="footer1.xml"/><Relationship Id="rId39" Type="http://schemas.openxmlformats.org/officeDocument/2006/relationships/image" Target="media/image21.wmf"/><Relationship Id="rId38" Type="http://schemas.openxmlformats.org/officeDocument/2006/relationships/oleObject" Target="embeddings/oleObject9.bin"/><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wmf"/><Relationship Id="rId24" Type="http://schemas.openxmlformats.org/officeDocument/2006/relationships/oleObject" Target="embeddings/oleObject4.bin"/><Relationship Id="rId23" Type="http://schemas.openxmlformats.org/officeDocument/2006/relationships/image" Target="media/image11.wmf"/><Relationship Id="rId22" Type="http://schemas.openxmlformats.org/officeDocument/2006/relationships/oleObject" Target="embeddings/oleObject3.bin"/><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wmf"/><Relationship Id="rId16" Type="http://schemas.openxmlformats.org/officeDocument/2006/relationships/oleObject" Target="embeddings/oleObject2.bin"/><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wmf"/><Relationship Id="rId12" Type="http://schemas.openxmlformats.org/officeDocument/2006/relationships/oleObject" Target="embeddings/oleObject1.bin"/><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0NzY1ODgwMTQ0IiwKCSJHcm91cElkIiA6ICI3MzUxMzk3ODE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jU4MDMzMDY5IiwKCSJWZXJzaW9uIiA6ICIxM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56</Pages>
  <Words>309</Words>
  <Characters>325</Characters>
  <Lines>169</Lines>
  <Paragraphs>47</Paragraphs>
  <TotalTime>0</TotalTime>
  <ScaleCrop>false</ScaleCrop>
  <LinksUpToDate>false</LinksUpToDate>
  <CharactersWithSpaces>431</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2024-11-06T00:38:00Z</dcterms:created>
  <dc:creator>lhj</dc:creator>
  <cp:lastModifiedBy>啡杯</cp:lastModifiedBy>
  <cp:lastPrinted>2022-01-07T04:08:00Z</cp:lastPrinted>
  <dcterms:modified xsi:type="dcterms:W3CDTF">2025-09-11T08:54:59Z</dcterms:modified>
  <dc:title>附件2</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F31560400BCC48349B8E97551BDB1EE8_13</vt:lpwstr>
  </property>
  <property fmtid="{D5CDD505-2E9C-101B-9397-08002B2CF9AE}" pid="4" name="KSOTemplateDocerSaveRecord">
    <vt:lpwstr>eyJoZGlkIjoiMWMxYjE0ODY0YzUzMzU2N2EyOTFkYjA4ZWVlNmY4NDEiLCJ1c2VySWQiOiI2NTgwMzMwNjkifQ==</vt:lpwstr>
  </property>
</Properties>
</file>